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/>
        <w:keepLines/>
        <w:widowControl w:val="0"/>
        <w:shd w:val="clear" w:color="auto" w:fill="auto"/>
        <w:tabs>
          <w:tab w:pos="1675" w:val="left"/>
          <w:tab w:pos="2923" w:val="left"/>
        </w:tabs>
        <w:bidi w:val="0"/>
        <w:spacing w:before="0" w:after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</w:rPr>
        <w:t>Ill</w:t>
        <w:tab/>
        <w:t>III</w:t>
        <w:tab/>
        <w:t>I</w:t>
      </w:r>
      <w:bookmarkEnd w:id="0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ДОГОВОР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№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1770-ОД/3</w:t>
      </w:r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оказания услуги республиканской платформы «Электронная почта.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Light»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7027" w:val="left"/>
        </w:tabs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г. Минск</w:t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«03»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января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2024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г.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underscore" w:pos="7027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Общество с ограниченной ответственностью «Белорусские облачные технологии», именуемое в дальнейшем «Оператор», в лице начальника управления продаж Гракович Ольги Евгеньевны, действующего на основании доверенности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№ 57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от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09.11.2023,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 одной стороны, и Государственное учреждение "Центр по обеспечению деятельности управления по образованию администрации Заводского района г. Минска и подведомственных организаций", именуемое в дальнейшем «Клиент», в лице управляющего Высоцкой Светланы Александровны, действующего на основании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 другой стороны, далее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вместе именуемые «Стороны», а каждое по отдельности - «Сторона», заключили настоящий Договор оказания услуг республиканской платформы (далее - Договор) о нижеследующем: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96" w:val="left"/>
          <w:tab w:pos="696" w:val="left"/>
        </w:tabs>
        <w:bidi w:val="0"/>
        <w:spacing w:before="0" w:after="0" w:line="240" w:lineRule="auto"/>
        <w:ind w:left="0" w:right="0" w:firstLine="0"/>
        <w:jc w:val="center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ПРЕДМЕТ ДОГОВОРА</w:t>
      </w:r>
      <w:bookmarkEnd w:id="4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Настоящий Договор присоединения заключается в простой письменной форме путем обмена документами в соответствии с п. 2 ст. 404 Гражданского кодекса Республики Беларусь (далее - ГК), а также путем совершения сторонами конклюдентных действий в соответствии с п. 3 ст. 408 ГК.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1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В рамках настоящего Договора Оператор оказывает Клиенту услугу республиканской платформы «Электронная почта.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Light»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(далее - Услуга), а Клиент обязуется принять и оплатить Услугу в соответствии с условиями настоящего Договора.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Описание Услуги, права и обязанности Сторон, формы документов, составляемых при оказании Услуги, определяются документом «Правила оказания услуги республиканской платформы «Электронная почта.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Light»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(далее - Правила), являющимся неотъемлемой частью настоящего Договора.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Услуга является услугой республиканской платформы по предоставлению Клиенту облачной инфраструктуры Оператора и обеспечению доступа к использованию программного обеспечения, предназначенного для хранения, обработки и отправки электронных сообщений, с выполнением требований Положения о порядке определения уполномоченных поставщиков интернет-услуг, утвержденного приказом Оперативно-аналитического центра при Президенте Республики Беларусь № 60 от 02.08.2010.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Срок оказания Услуги: с даты начала оказания Услуги до окончания срока действия настоящего Договора.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При выполнении обязательств по настоящему Договору Стороны руководствуются законодательством Республики Беларусь, иными документами, регламентирующими порядок и условия оказания Услуги, действующими на момент оказания Услуги, а также настоящим Договором.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Документы, регламентирующие порядок и условия оказания Услуги, размещаются на официальном сайте Оператора</w:t>
      </w:r>
      <w:r>
        <w:fldChar w:fldCharType="begin"/>
      </w:r>
      <w:r>
        <w:rPr/>
        <w:instrText> HYPERLINK "http://www.becloud.by/"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www.becloud.by.</w:t>
      </w:r>
      <w:r>
        <w:fldChar w:fldCharType="end"/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1" w:val="left"/>
        </w:tabs>
        <w:bidi w:val="0"/>
        <w:spacing w:before="0" w:after="2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Подписывая настоящий Договор, Клиент подтверждает, что все указанные в Договоре документы, регулирующие порядок оказания Услуги, ему доступны, понятны и принимаются без каких-либо изъятий и оговорок.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96" w:val="left"/>
          <w:tab w:pos="701" w:val="left"/>
        </w:tabs>
        <w:bidi w:val="0"/>
        <w:spacing w:before="0" w:after="0" w:line="240" w:lineRule="auto"/>
        <w:ind w:left="0" w:right="0" w:firstLine="0"/>
        <w:jc w:val="center"/>
      </w:pPr>
      <w:bookmarkStart w:id="6" w:name="bookmark6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ПОРЯДОК ОКАЗАНИЯ УСЛУГИ</w:t>
      </w:r>
      <w:bookmarkEnd w:id="6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1" w:val="left"/>
        </w:tabs>
        <w:bidi w:val="0"/>
        <w:spacing w:before="0" w:after="120" w:line="240" w:lineRule="auto"/>
        <w:ind w:left="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724" w:right="531" w:bottom="724" w:left="1664" w:header="296" w:footer="296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целях оказания Услуги Оператор и Клиент будут взаимодействовать исключительно через назначенных ответственных лиц, указанных в разделе 9 «Контактные данные сторон» настоящего Договора. В случае замены ответственных лиц Стороны информируют друг друга письмом за подписью уполномоченного лица, а также по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электронной почте о назначенных лицах и их контактной информации (фамилия, имя, должность, номер телефона,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e-mail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 пр.) до наступления такой замены.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Оператор предоставляет Клиенту Учетные данные, необходимые для доступа к Услуге, в день начала оказания Услуги, определенный в Заказе. Одновременно с передачей Учетных данных Оператор направляет Клиенту Акт начала оказания услуги, составленный по форме, определенной Правилами. Клиент подписывает и передает Оператору Акт начала оказания услуги в день получения Учетных данных.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Информация о порядке доступа к программному обеспечению (далее - ПО) и Учетным данным передается ответственному за приемку услуг представителю Клиента на контактные данные, указанные в разделе 9 «Контактные данные сторон» Договора, с электронного адреса Оператора </w:t>
      </w:r>
      <w:r>
        <w:fldChar w:fldCharType="begin"/>
      </w:r>
      <w:r>
        <w:rPr/>
        <w:instrText> HYPERLINK "mailto:noreply@becloud.by"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noreply@becloud.by</w:t>
      </w:r>
      <w:r>
        <w:fldChar w:fldCharType="end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 момента передачи уполномоченному лицу Клиента порядка доступа и Учетных данных ответственность за их конфиденциальность возлагается на Клиента.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72" w:val="left"/>
        </w:tabs>
        <w:bidi w:val="0"/>
        <w:spacing w:before="0" w:after="2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Клиент обязуется сменить Учетные данные, переданные ему Оператором, обеспечивать их конфиденциальное хранение и не допускать компрометации; незамедлительно уведомить Оператора в случае утраты или наличия обоснованных подозрений в отношении нарушения конфиденциальности (компрометации) Учетных данных.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703" w:val="left"/>
          <w:tab w:pos="710" w:val="left"/>
        </w:tabs>
        <w:bidi w:val="0"/>
        <w:spacing w:before="0" w:after="0" w:line="240" w:lineRule="auto"/>
        <w:ind w:left="0" w:right="0" w:firstLine="0"/>
        <w:jc w:val="center"/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СТОИМОСТЬ УСЛУГ И ПОРЯДОК ОПЛАТЫ</w:t>
      </w:r>
      <w:bookmarkEnd w:id="8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За оказываемую в соответствии с Договором Услугу Клиент уплачивает ежемесячную плату в размере, определяемом в соответствии с установленными у Оператора тарифами. Ежемесячная плата за Услугу фиксируется в соответствующем Заказе на Услугу.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86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2024 году стоимость Услуги составляет: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Стоимость ежемесячной услуги по Заказу № 1 от 03.01.2024 составляет 357,00 (Триста пятьдесят семь белорусских рублей 00 копеек), в т.ч. НДС по ставке 20%, что составляет 59,50 (Пятьдесят девять белорусских рублей 50 копеек).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ru-RU" w:eastAsia="ru-RU" w:bidi="ru-RU"/>
        </w:rPr>
        <w:footnoteReference w:id="2"/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77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Общая стоимость Услуги по настоящему Договору в 2024 году составляет 4 284,00 (Четыре тысячи двести восемьдесят четыре белорусских рубля 00 копеек), в т.ч. НДС по ставке 20%, что составляет 714,00 (Семьсот четырнадцать белорусских рублей 00 копеек).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7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Стоимость Услуги на 2025 год определяется дополнительным соглашением Сторон к настоящему Договору в срок не позднее 10 декабря каждого года.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7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Услуга по настоящему Договору подлежит оплате ежемесячно, начиная с даты подписания Сторонами Акта начала оказания Услуги.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7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Все расчеты по настоящему Договору осуществляются в белорусских рублях посредством безналичного перечисления денежных средств на расчетный счет Оператора в соответствии с условиями настоящего Раздела.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Расчеты, осуществляемые Клиентом из республиканского (областного, городского, районного, сельского, поселкового, местного) бюджета, производятся со счета территориального органа государственного казначейства.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Стороны в соответствии с постановлением Министерства финансов Республики Беларусь от 12.02.2018 № 13 «О единоличном составлении первичных учетных документов» единолично оформляют и подписывают Акт оказанных услуг (далее - Акт). Датой оказания Услуги (датой совершения хозяйственной операции) и датой составления Акта является последний календарный день Отчетного периода (каждого месяца оказания Услуги). В течение 5 рабочих дней месяца, следующего за Отчетным периодом, Оператор на электронную почту Клиента в соответствии с контактными данными, указанными в разделе 9 «Контактные данные сторон» настоящего Договора, высылает копию Акта, единолично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оформленного Оператором, в формате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«pdf»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качестве информирования (стоимость услуги за отчетный период, дата и номер Акта).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Стороны могут согласовать составление Акта в виде электронного документа , подписанного электронной цифровой подписью (далее - ЭЦП). В таком случае обмен электронными документами по настоящему Договору осуществляется посредством информационной системы «ЭДиН», предоставляемой аттестованным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EDI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-провайдером ООО «Электронные документы и накладные» и доступ к которой может быть осуществлен Сторонами с помощью интернет-ресурса</w:t>
      </w:r>
      <w:r>
        <w:fldChar w:fldCharType="begin"/>
      </w:r>
      <w:r>
        <w:rPr/>
        <w:instrText> HYPERLINK "http://www.edn.by/"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www.edn.by </w:t>
      </w:r>
      <w:r>
        <w:fldChar w:fldCharType="end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(далее - ИС «ЭДиН»). Датой оказания Услуги (датой совершения хозяйственной операции) является последний календарный день Отчетного периода (каждого месяца оказания Услуги).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Сторонами также признается, что документы, переданные и подписанные посредством ИС «ЭДиН», имеют юридическую силу, аналогичную подписанным на бумажном носителе, а информация, генерируемая и хранящаяся в указанной системе, может быть использована в качестве доказательства соответствующих юридических фактов.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Клиент обязан не позднее 25 числа Расчетного периода произвести оплату суммы, указанной в Акте, либо предоставить платежное поручение на оплату суммы, указанной в Акте, в территориальный орган государственного казначейства.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Обязательство по оплате Услуги в соответствии с настоящим Договором считается выполненным Клиентом с момента поступления денежных средств на расчетный счет Оператора.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При оплате Клиентом Услуги из республиканского (областного, городского, районного, сельского, поселкового, местного) бюджета обязательство по оплате Услуги в соответствии с настоящим Договором считается выполненным Клиентом с момента регистрации платежного поручения территориальным органом государственного казначейства. Клиент обязуется по требованию Оператора почтовой связью предоставить Оператору копию соответствующего платежного поручения с отметкой о регистрации территориальным органом государственного казначейства.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30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Услуга по настоящему Договору в соответствующем Отчетном периоде считается оказанной Оператором и принятой Клиентом в полном объеме с даты Акта за Отчетный период при отсутствии поступления мотивированных возражений от Клиента до 10 числа Расчетного периода.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30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 мере необходимости Стороны осуществляют сверку расчетов по Договору с оформлением двустороннего Акта сверки расчетов. Акт сверки расчетов составляется заинтересованной Стороной в двух экземплярах, каждый из которых должен быть подписан уполномоченным представителем этой Стороны и скреплен ее печатью. Сторона-инициатор направляет в адрес Стороны-получателя два оригинала Акта сверки расчетов почтовой связью или курьером с уведомлением о доставке. В течение 10 (десяти) рабочих дней со дня получения Акта сверки расчетов Сторона-получатель должна подписать, поставить печать, направить один экземпляр Акта сверки расчетов в адрес Стороны-инициатора, или направить Стороне-инициатору свои письменные мотивированные возражения по поводу достоверности содержащейся в Акте сверки расчетов информации. Если в течение 10 (десяти) рабочих дней со дня получения акта сверки расчетов Сторона-получатель не направит в адрес Стороны- инициатора подписанный Акт сверки расчетов или письменные мотивированные возражения по поводу достоверности содержащейся в нем информации, Акт сверки расчетов считается признанным Стороной-получателем в редакции Стороны-инициатора.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862" w:val="left"/>
        </w:tabs>
        <w:bidi w:val="0"/>
        <w:spacing w:before="0" w:after="2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Источник финансирования - не указан.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701" w:val="left"/>
          <w:tab w:pos="706" w:val="left"/>
        </w:tabs>
        <w:bidi w:val="0"/>
        <w:spacing w:before="0" w:after="0" w:line="240" w:lineRule="auto"/>
        <w:ind w:left="0" w:right="0" w:firstLine="0"/>
        <w:jc w:val="center"/>
      </w:pPr>
      <w:bookmarkStart w:id="10" w:name="bookmark1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ОТВЕТСТВЕННОСТЬ СТОРОН И ПОРЯДОК РАЗРЕШЕНИЯ СПОРОВ</w:t>
      </w:r>
      <w:bookmarkEnd w:id="10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Стороны несут ответственность за неисполнение или ненадлежащее исполнение своих обязательств по настоящему Договору в соответствии с условиями Договора, а в части, не урегулированной Договором - в соответствии с Правилами и законодательством. При этом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Оператор не несет ответственность за упущенную выгоду, неполученную Клиентом в связи с ненадлежащим исполнением Оператором своих договорных обязательств.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случае нарушений сроков оплаты оказанных Услуг, Клиент обязуется по требованию Оператора уплатить пеню в размере 0,1 % от суммы неисполненного или несвоевременно исполненного обязательства за каждый день просрочки.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случае нарушения срока начала оказания Услуги, согласованного в Заказе на Услугу, Клиент имеет право потребовать от Оператора уплаты пени в размере 0,1 % от размера ежемесячной платы, указанной в п.3.2. настоящего Договора за каждый день просрочки, но не более 10 % (десяти) процентов от размера ежемесячной платы.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случае, если при оказании оплаченной Клиентом Услуги будет выявлено ненадлежащее исполнение Оператором своих обязательств, максимальный размер требования Клиента к Оператору не может превышать суммы, фактически уплаченной Клиентом за оказание Услуги в периоде, в котором выявлено ненадлежащее исполнение обязательств Оператором.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1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Оператор не несет ответственности за нарушение прав третьих лиц, возникших в результате действий Клиента, совершенных с использованием Услуг, оказываемых Оператором.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Стороны соглашаются с тем, что Оператор не несет ответственность за перерывы в оказании Услуги и убытки, понесенные Клиентом, причиной которых стали дефекты в электронном или механическом оборудовании и (или) компьютерных программах, которые находятся вне зоны ответственности Оператора, а также иные объективные технологические неполадки, возникшие не по вине Оператора.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Стороны не несут ответственность за неисполнение либо ненадлежащее исполнение своих обязанностей по Договору, если их неисполнение вызвано действием обстоятельств непреодолимой силы (стихийные бедствия, катастрофы, военные действия и прочее).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Ответственность по настоящему Договору не возникает, если неисполнение Стороной своих обязательств вызвано нарушением обязательств другой Стороной.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Все споры и разногласия, которые могут возникнуть по Договору, Стороны намереваются разрешать путем переговоров.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30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Стороны устанавливают обязательный досудебный претензионный порядок урегулирования споров, возникающих из настоящего Договора или в связи с ним. Получатель претензии в течение 10 (десяти) рабочих дней со дня ее получения, письменно уведомляет заявителя претензии о результатах рассмотрения претензии.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306" w:val="left"/>
        </w:tabs>
        <w:bidi w:val="0"/>
        <w:spacing w:before="0" w:after="2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случае если споры и разногласия не урегулированы в соответствии с пунктом 4.10. настоящего Договора, разрешение спора осуществляется в компетентном суде Республики Беларусь.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97" w:val="left"/>
          <w:tab w:pos="701" w:val="left"/>
        </w:tabs>
        <w:bidi w:val="0"/>
        <w:spacing w:before="0" w:after="0" w:line="240" w:lineRule="auto"/>
        <w:ind w:left="0" w:right="0" w:firstLine="0"/>
        <w:jc w:val="center"/>
      </w:pPr>
      <w:bookmarkStart w:id="12" w:name="bookmark1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ПРИОСТАНОВЛЕНИЕ ОКАЗАНИЯ УСЛУГ</w:t>
      </w:r>
      <w:bookmarkEnd w:id="12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1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Оказание Услуг может быть временно приостановлено в случаях: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2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масштабных инцидентов до их устранения;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2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если дальнейшее оказание Услуг сопряжено с существенным риском для нормального функционирования и защиты государственных информационных ресурсов;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2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если Клиент не выполняет свои обязательства в соответствии с настоящим Договором;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20" w:val="left"/>
        </w:tabs>
        <w:bidi w:val="0"/>
        <w:spacing w:before="0" w:after="2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изменения политики правообладателя ПО.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96" w:val="left"/>
          <w:tab w:pos="697" w:val="left"/>
        </w:tabs>
        <w:bidi w:val="0"/>
        <w:spacing w:before="0" w:after="0" w:line="240" w:lineRule="auto"/>
        <w:ind w:left="0" w:right="0" w:firstLine="0"/>
        <w:jc w:val="center"/>
      </w:pPr>
      <w:bookmarkStart w:id="14" w:name="bookmark1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ПОРЯДОК РАСТОРЖЕНИЯ ДОГОВОРА</w:t>
      </w:r>
      <w:bookmarkEnd w:id="14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1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Договор может быть расторгнут: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2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 соглашению Сторон;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1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одностороннем порядке по инициативе любой из Сторон в случае неоднократного нарушения другой Стороной принятых на себя обязательств по настоящему Договору;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1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на основании решения суда;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1418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 иным основаниям, в соответствии с Договором и законодательством Республики Беларусь.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2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При расторжении настоящего Договора по любым основаниям его положения будут применяться к отношениям Сторон вплоть до полного окончания взаимных расчетов и передачи необходимой документации. При расторжении Договора, не связанным с нарушением договорных обязательств Оператором, предоплата за оказанную Услугу, уплаченная Клиентом, не возвращается.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96" w:val="left"/>
          <w:tab w:pos="696" w:val="left"/>
        </w:tabs>
        <w:bidi w:val="0"/>
        <w:spacing w:before="0" w:after="0" w:line="240" w:lineRule="auto"/>
        <w:ind w:left="0" w:right="0" w:firstLine="0"/>
        <w:jc w:val="center"/>
      </w:pPr>
      <w:bookmarkStart w:id="16" w:name="bookmark16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ПРОЧИЕ УСЛОВИЯ</w:t>
      </w:r>
      <w:bookmarkEnd w:id="16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Если иное не определено настоящим Договором, обмен информацией (материалами) между Сторонами по настоящему Договору совершается исключительно в письменной форме. Письменные сообщения Сторон (в том числе Заказы на Услугу, претензии, уведомления и др.) направляются по почте, факсу, электронной почте, курьером, выдаются Стороне (ее уполномоченному представителю) на руки или доставляются другими способами, позволяющими зафиксировать факт (дату, время) его передачи и отправителя. Для определения аутентичности сообщения, составленного на бумажном носителе, достаточно визуального, без применения специальных знаний и технических средств, сличения образцов подписей ответственных лиц Сторон и оттисков печати на документе с образцами, имеющимися в распоряжении Сторон. Обмен сообщениями по электронной почте считается совершенным только после получения соответствующего подтверждения от Стороны, получившей сообщение.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91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случае изменения адресов и/или расчетных реквизитов Сторон, Сторона, чьи реквизиты изменились, обязана уведомить об этом другую Сторону в течение 5 (пять) рабочих дней с момента вступления в силу таких изменений. При этом заключения между Сторонами дополнительного соглашения не требуется.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случае реорганизации Сторон или изменения названия Сторон их права и обязанности по исполнению настоящего Договора переходят к их правопреемникам.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2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Стороны пришли к соглашению о том, что приложения и дополнительные соглашения к настоящему Договору могут быть подписаны с использованием факсимильного оттиска подписи уполномоченных лиц. Стороны гарантируют друг другу, что факсимиле подписей уполномоченных лиц, которыми подписываются документы, проставлены ими собственноручно либо по их указанию.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2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Настоящий Договор вступает в силу со дня подписания Сторонами, распространяет свое действие на отношения Сторон, возникшие с 01.01.2024, и действует по 31.12.2024, а в части оплаты оказанной Услуги - до полного исполнения обязательств. Настоящий Договор может быть продлен по соглашению Сторон до истечения срока действия Договора. Настоящий Договор составлен в двух экземплярах по одному для каждой Стороны, при этом оба экземпляра имеют равную юридическую силу.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96" w:val="left"/>
          <w:tab w:pos="696" w:val="left"/>
        </w:tabs>
        <w:bidi w:val="0"/>
        <w:spacing w:before="0" w:after="0" w:line="240" w:lineRule="auto"/>
        <w:ind w:left="0" w:right="0" w:firstLine="0"/>
        <w:jc w:val="center"/>
      </w:pPr>
      <w:bookmarkStart w:id="18" w:name="bookmark18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АНТИКОРРУПЦИОННАЯ ОГОВОРКА</w:t>
      </w:r>
      <w:bookmarkEnd w:id="18"/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Оператор и Клиент подтверждают, что им известны требования законодательных и иных нормативных правовых актов Республики Беларусь в области противодействия коррупции (далее - антикоррупционные требования). Оператор и Клиент обязуются обеспечить соблюдение антикоррупционных требований при исполнении Договора своими работниками. Оператор и Клиент отказываются от любого стимулирования работников второй стороны, ее контрагентов, иных лиц, которое направлено на обеспечение выполнения таким лицом каких-либо действий в пользу стимулирующей его стороны. К иным лицам могут</w:t>
        <w:br w:type="pag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относиться госслужащие и любые другие лица, имеющие прямое и/или косвенное отношение к исполнению Договора.</w:t>
      </w:r>
    </w:p>
    <w:p>
      <w:pPr>
        <w:pStyle w:val="Style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186" w:val="left"/>
        </w:tabs>
        <w:bidi w:val="0"/>
        <w:spacing w:before="0" w:after="3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 случае возникновения у Оператора либо Клиента подозрений, что произошло или может произойти нарушение антикоррупционных требований, соответствующая сторона обязуется уведомить об этом другую сторону в письменной форме в течение 5 (пяти) календарных дней. В случае нарушения одной из сторон Договора антикоррупционных требований, другая сторона вправе отказаться от исполнения Договора в одностороннем порядке. Сторона Договора, нарушившая антикоррупционные требования при исполнении Договора, обязана возместить другой стороне возникшие у нее в результате этого убытки.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leader="underscore" w:pos="2491" w:val="left"/>
          <w:tab w:pos="3139" w:val="left"/>
          <w:tab w:leader="underscore" w:pos="939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9.</w:t>
        <w:tab/>
        <w:t>КОНТАКТНЫЕ ДАННЫЕ СТОРОН</w:t>
      </w:r>
      <w:r>
        <w:rPr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lang w:val="ru-RU" w:eastAsia="ru-RU" w:bidi="ru-RU"/>
        </w:rPr>
        <w:tab/>
      </w:r>
    </w:p>
    <w:tbl>
      <w:tblPr>
        <w:tblOverlap w:val="never"/>
        <w:jc w:val="center"/>
        <w:tblLayout w:type="fixed"/>
      </w:tblPr>
      <w:tblGrid>
        <w:gridCol w:w="2698"/>
        <w:gridCol w:w="2832"/>
        <w:gridCol w:w="3864"/>
      </w:tblGrid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Предприятие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Структурное подразделение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Номер телефона, адрес электронной почты</w:t>
            </w:r>
          </w:p>
        </w:tc>
      </w:tr>
      <w:tr>
        <w:trPr>
          <w:trHeight w:val="254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Организационные вопросы</w:t>
            </w:r>
          </w:p>
        </w:tc>
      </w:tr>
      <w:tr>
        <w:trPr>
          <w:trHeight w:val="7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БЕЛОРУССКИЕ ОБЛАЧНЫЕ ТЕХНОЛОГИИ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Отдел продаж У правления продаж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+375 (17) 287-11-11 +375 (17) 287-11-49 </w:t>
            </w:r>
            <w:r>
              <w:fldChar w:fldCharType="begin"/>
            </w:r>
            <w:r>
              <w:rPr/>
              <w:instrText> HYPERLINK "mailto:sales@becloud.by" </w:instrText>
            </w:r>
            <w:r>
              <w:fldChar w:fldCharType="separate"/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sales@becloud.by</w:t>
            </w:r>
            <w:r>
              <w:fldChar w:fldCharType="end"/>
            </w:r>
          </w:p>
        </w:tc>
      </w:tr>
      <w:tr>
        <w:trPr>
          <w:trHeight w:val="15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Москаленко Алина Дмитриевна, Начальник уцхо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+375 25 587-00-48</w:t>
            </w:r>
          </w:p>
        </w:tc>
      </w:tr>
      <w:tr>
        <w:trPr>
          <w:trHeight w:val="274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Расчеты за услугу</w:t>
            </w:r>
          </w:p>
        </w:tc>
      </w:tr>
      <w:tr>
        <w:trPr>
          <w:trHeight w:val="76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БЕЛОРУССКИЕ ОБЛАЧНЫЕ ТЕХНОЛОГИИ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Отдел экономики и финансов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+375 (17) 287-11-42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finance@becloud. by</w:t>
            </w:r>
          </w:p>
        </w:tc>
      </w:tr>
      <w:tr>
        <w:trPr>
          <w:trHeight w:val="15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Москаленко Алина Дмитриевна, Начальник уцхо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+375 25 587-00-48</w:t>
            </w:r>
          </w:p>
        </w:tc>
      </w:tr>
      <w:tr>
        <w:trPr>
          <w:trHeight w:val="269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Технические вопросы приемки услуги</w:t>
            </w:r>
          </w:p>
        </w:tc>
      </w:tr>
      <w:tr>
        <w:trPr>
          <w:trHeight w:val="76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БЕЛОРУССКИЕ ОБЛАЧНЫЕ ТЕХНОЛОГИИ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Отдел мониторинга Управления РЦОД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+375 (29) 249-38-89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+375 (17) 287-11-11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vdcsupport@becloud. by</w:t>
            </w:r>
          </w:p>
        </w:tc>
      </w:tr>
      <w:tr>
        <w:trPr>
          <w:trHeight w:val="15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Пашкевич Ян Андреевич, Программист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zavue.minsk. edu@yandex. by +375 (44) 741-56-53</w:t>
            </w:r>
          </w:p>
        </w:tc>
      </w:tr>
      <w:tr>
        <w:trPr>
          <w:trHeight w:val="254" w:hRule="exact"/>
        </w:trPr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Служба технической поддержки</w:t>
            </w:r>
          </w:p>
        </w:tc>
      </w:tr>
      <w:tr>
        <w:trPr>
          <w:trHeight w:val="7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БЕЛОРУССКИЕ ОБЛАЧНЫЕ ТЕХНОЛОГИИ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Отдел мониторинга Управления РЦОД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+375 (29) 249-38-89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+375 (17) 287-11-11 vdcsupport@becloud. by</w:t>
            </w:r>
          </w:p>
        </w:tc>
      </w:tr>
      <w:tr>
        <w:trPr>
          <w:trHeight w:val="152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Пашкевич Ян Андреевич, Программист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zavue.minsk. edu@yandex. by +375 (44) 741-56-53</w:t>
            </w:r>
          </w:p>
        </w:tc>
      </w:tr>
    </w:tbl>
    <w:p>
      <w:pPr>
        <w:sectPr>
          <w:headerReference w:type="default" r:id="rId5"/>
          <w:footnotePr>
            <w:pos w:val="pageBottom"/>
            <w:numFmt w:val="upperRoman"/>
            <w:numStart w:val="1"/>
            <w:numRestart w:val="continuous"/>
            <w15:footnoteColumns w:val="1"/>
          </w:footnotePr>
          <w:pgSz w:w="11900" w:h="16840"/>
          <w:pgMar w:top="1247" w:right="527" w:bottom="1337" w:left="1663" w:header="0" w:footer="909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upperRoman"/>
            <w:numStart w:val="1"/>
            <w:numRestart w:val="continuous"/>
            <w15:footnoteColumns w:val="1"/>
          </w:footnotePr>
          <w:pgSz w:w="11900" w:h="16840"/>
          <w:pgMar w:top="1021" w:right="549" w:bottom="1021" w:left="1232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4104"/>
        <w:gridCol w:w="5822"/>
      </w:tblGrid>
      <w:tr>
        <w:trPr>
          <w:trHeight w:val="5275" w:hRule="exact"/>
        </w:trPr>
        <w:tc>
          <w:tcPr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280" w:line="25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Оператор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560" w:line="264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ООО «Белорусские облачные технологии»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220004, Республика Беларусь,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280" w:line="25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г. Минск, ул. К. Цеткин, д. 24, пом. 602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 xml:space="preserve">р/с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BY14BAPB30127209600100000000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 xml:space="preserve">в ОАО «Белагропромбанк», БИК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BAPBBY2X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280" w:line="25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УНП 191772685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460" w:line="25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Начал ьнгък-уп-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u w:val="single"/>
                <w:shd w:val="clear" w:color="auto" w:fill="auto"/>
                <w:lang w:val="ru-RU" w:eastAsia="ru-RU" w:bidi="ru-RU"/>
              </w:rPr>
              <w:t>т-|зд.е н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и я продаж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trike/>
                <w:color w:val="615D7A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/облачные т</w:t>
            </w:r>
            <w:r>
              <w:rPr>
                <w:rFonts w:ascii="Arial" w:eastAsia="Arial" w:hAnsi="Arial" w:cs="Arial"/>
                <w:b/>
                <w:bCs/>
                <w:color w:val="615D7A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ru-RU" w:eastAsia="ru-RU" w:bidi="ru-RU"/>
              </w:rPr>
              <w:t>е</w:t>
            </w:r>
            <w:r>
              <w:rPr>
                <w:rFonts w:ascii="Arial" w:eastAsia="Arial" w:hAnsi="Arial" w:cs="Arial"/>
                <w:b/>
                <w:bCs/>
                <w:strike/>
                <w:color w:val="615D7A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ru-RU" w:eastAsia="ru-RU" w:bidi="ru-RU"/>
              </w:rPr>
              <w:t>хно</w:t>
            </w:r>
            <w:r>
              <w:rPr>
                <w:rFonts w:ascii="Arial" w:eastAsia="Arial" w:hAnsi="Arial" w:cs="Arial"/>
                <w:b/>
                <w:bCs/>
                <w:color w:val="615D7A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ru-RU" w:eastAsia="ru-RU" w:bidi="ru-RU"/>
              </w:rPr>
              <w:t>логии»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tabs>
                <w:tab w:pos="2827" w:val="left"/>
              </w:tabs>
              <w:bidi w:val="0"/>
              <w:spacing w:before="0" w:after="28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mallCaps/>
                <w:color w:val="615D7A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е (</w:t>
            </w:r>
            <w:r>
              <w:rPr>
                <w:rFonts w:ascii="Arial" w:eastAsia="Arial" w:hAnsi="Arial" w:cs="Arial"/>
                <w:b/>
                <w:bCs/>
                <w:color w:val="615D7A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ru-RU" w:eastAsia="ru-RU" w:bidi="ru-RU"/>
              </w:rPr>
              <w:t xml:space="preserve"> ппа МОНУМЕНТОВ</w:t>
              <w:tab/>
              <w:t>)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Клиент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0" w:line="257" w:lineRule="auto"/>
              <w:ind w:left="720" w:right="0" w:firstLine="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Государственное учреждение "Центр по обеспечению деятельности управления по образованию администрации Заводского района г. Минска и подведомственных организаций"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580" w:line="257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220107, Минская, г. Минск, ул. Искалиева, д. 12а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 xml:space="preserve">р/с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BY85AKBB36040000052530000000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в ЦБУ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N511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 xml:space="preserve">ОАО 'АСБ БЕЛАРУСБАНК', БИК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AKBBBY2X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bidi w:val="0"/>
              <w:spacing w:before="0" w:after="1180" w:line="240" w:lineRule="auto"/>
              <w:ind w:left="7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УНП 193403421</w:t>
            </w:r>
          </w:p>
          <w:p>
            <w:pPr>
              <w:pStyle w:val="Style17"/>
              <w:keepNext w:val="0"/>
              <w:keepLines w:val="0"/>
              <w:framePr w:w="9926" w:h="5275" w:vSpace="451" w:wrap="none" w:vAnchor="text" w:hAnchor="page" w:x="1425" w:y="472"/>
              <w:widowControl w:val="0"/>
              <w:shd w:val="clear" w:color="auto" w:fill="auto"/>
              <w:tabs>
                <w:tab w:leader="underscore" w:pos="2545" w:val="left"/>
              </w:tabs>
              <w:bidi w:val="0"/>
              <w:spacing w:before="0" w:after="300" w:line="257" w:lineRule="auto"/>
              <w:ind w:left="7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ab/>
              <w:t>/С.А.Высоцкая/</w:t>
            </w:r>
          </w:p>
        </w:tc>
      </w:tr>
    </w:tbl>
    <w:p>
      <w:pPr>
        <w:framePr w:w="9926" w:h="5275" w:vSpace="451" w:wrap="none" w:vAnchor="text" w:hAnchor="page" w:x="1425" w:y="472"/>
        <w:widowControl w:val="0"/>
        <w:spacing w:line="1" w:lineRule="exact"/>
      </w:pPr>
    </w:p>
    <w:p>
      <w:pPr>
        <w:pStyle w:val="Style14"/>
        <w:keepNext w:val="0"/>
        <w:keepLines w:val="0"/>
        <w:framePr w:w="3326" w:h="298" w:wrap="none" w:vAnchor="text" w:hAnchor="page" w:x="4867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u w:val="none"/>
          <w:shd w:val="clear" w:color="auto" w:fill="auto"/>
          <w:lang w:val="ru-RU" w:eastAsia="ru-RU" w:bidi="ru-RU"/>
        </w:rPr>
        <w:t>10. РЕКВИЗИТЫ СТОРОН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782320</wp:posOffset>
            </wp:positionH>
            <wp:positionV relativeFrom="paragraph">
              <wp:posOffset>2901950</wp:posOffset>
            </wp:positionV>
            <wp:extent cx="2755265" cy="126174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2755265" cy="12617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upperRoman"/>
        <w:numStart w:val="1"/>
        <w:numRestart w:val="continuous"/>
        <w15:footnoteColumns w:val="1"/>
      </w:footnotePr>
      <w:type w:val="continuous"/>
      <w:pgSz w:w="11900" w:h="16840"/>
      <w:pgMar w:top="1021" w:right="549" w:bottom="1021" w:left="1232" w:header="0" w:footer="59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tabs>
          <w:tab w:pos="7272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ru-RU" w:eastAsia="ru-RU" w:bidi="ru-RU"/>
        </w:rPr>
        <w:footnoteRef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случае, если Клиент имеет статус государственного органа, то НДС не применяется в соответствии абз. 3 подп. 2.2 пункта 2 Указа Президента Республики Беларусь от 23.01.2014</w:t>
        <w:tab/>
        <w:t>№ 46 «Об использовании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государственными органами и иными государственными организациями телекоммуникационных технологий», а соответствующая графа не заполняется.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4097655</wp:posOffset>
              </wp:positionH>
              <wp:positionV relativeFrom="page">
                <wp:posOffset>477520</wp:posOffset>
              </wp:positionV>
              <wp:extent cx="67310" cy="1035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31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2.65000000000003pt;margin-top:37.600000000000001pt;width:5.2999999999999998pt;height:8.1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Сноска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6">
    <w:name w:val="Заголовок №1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90"/>
      <w:szCs w:val="90"/>
      <w:u w:val="none"/>
      <w:lang w:val="en-US" w:eastAsia="en-US" w:bidi="en-US"/>
    </w:rPr>
  </w:style>
  <w:style w:type="character" w:customStyle="1" w:styleId="CharStyle8">
    <w:name w:val="Заголовок №2_"/>
    <w:basedOn w:val="DefaultParagraphFont"/>
    <w:link w:val="Styl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harStyle10">
    <w:name w:val="Основной текст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2">
    <w:name w:val="Колонтитул (2)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Подпись к таблице_"/>
    <w:basedOn w:val="DefaultParagraphFont"/>
    <w:link w:val="Style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single"/>
    </w:rPr>
  </w:style>
  <w:style w:type="character" w:customStyle="1" w:styleId="CharStyle18">
    <w:name w:val="Другое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Сноска"/>
    <w:basedOn w:val="Normal"/>
    <w:link w:val="CharStyle3"/>
    <w:pPr>
      <w:widowControl w:val="0"/>
      <w:shd w:val="clear" w:color="auto" w:fill="auto"/>
      <w:ind w:firstLine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5">
    <w:name w:val="Заголовок №1"/>
    <w:basedOn w:val="Normal"/>
    <w:link w:val="CharStyle6"/>
    <w:pPr>
      <w:widowControl w:val="0"/>
      <w:shd w:val="clear" w:color="auto" w:fill="auto"/>
      <w:jc w:val="center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90"/>
      <w:szCs w:val="90"/>
      <w:u w:val="none"/>
      <w:lang w:val="en-US" w:eastAsia="en-US" w:bidi="en-US"/>
    </w:rPr>
  </w:style>
  <w:style w:type="paragraph" w:customStyle="1" w:styleId="Style7">
    <w:name w:val="Заголовок №2"/>
    <w:basedOn w:val="Normal"/>
    <w:link w:val="CharStyle8"/>
    <w:pPr>
      <w:widowControl w:val="0"/>
      <w:shd w:val="clear" w:color="auto" w:fill="auto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Style9">
    <w:name w:val="Основной текст"/>
    <w:basedOn w:val="Normal"/>
    <w:link w:val="CharStyle10"/>
    <w:pPr>
      <w:widowControl w:val="0"/>
      <w:shd w:val="clear" w:color="auto" w:fill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11">
    <w:name w:val="Колонтитул (2)"/>
    <w:basedOn w:val="Normal"/>
    <w:link w:val="CharStyle1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Подпись к таблице"/>
    <w:basedOn w:val="Normal"/>
    <w:link w:val="CharStyle15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single"/>
    </w:rPr>
  </w:style>
  <w:style w:type="paragraph" w:customStyle="1" w:styleId="Style17">
    <w:name w:val="Другое"/>
    <w:basedOn w:val="Normal"/>
    <w:link w:val="CharStyle18"/>
    <w:pPr>
      <w:widowControl w:val="0"/>
      <w:shd w:val="clear" w:color="auto" w:fill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Лобанов Виталий Александрович</dc:creator>
  <cp:keywords/>
</cp:coreProperties>
</file>