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hanging="0" w:end="0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2676525</wp:posOffset>
            </wp:positionH>
            <wp:positionV relativeFrom="paragraph">
              <wp:posOffset>-9525</wp:posOffset>
            </wp:positionV>
            <wp:extent cx="1129030" cy="563880"/>
            <wp:effectExtent l="0" t="0" r="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9" t="-317" r="-159" b="-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Normal"/>
        <w:ind w:hanging="0" w:end="0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</w:r>
    </w:p>
    <w:p>
      <w:pPr>
        <w:pStyle w:val="Normal"/>
        <w:spacing w:lineRule="auto" w:line="240"/>
        <w:rPr>
          <w:rFonts w:ascii="Impact" w:hAnsi="Impact" w:cs="Impact"/>
          <w:i/>
          <w:color w:val="000000"/>
          <w:sz w:val="16"/>
          <w:szCs w:val="16"/>
          <w:lang w:val="ru-RU" w:eastAsia="ru-RU"/>
        </w:rPr>
      </w:pPr>
      <w:r>
        <w:rPr>
          <w:rFonts w:cs="Impact" w:ascii="Impact" w:hAnsi="Impact"/>
          <w:i/>
          <w:color w:val="000000"/>
          <w:sz w:val="16"/>
          <w:szCs w:val="16"/>
          <w:lang w:val="ru-RU" w:eastAsia="ru-RU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293485" cy="0"/>
                <wp:effectExtent l="0" t="28575" r="0" b="28575"/>
                <wp:wrapNone/>
                <wp:docPr id="2" name="Прямая соединительная 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pt" to="495.5pt,2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2" w:name="_Ref93295407"/>
      <w:bookmarkStart w:id="3" w:name="_Ref93295407"/>
      <w:bookmarkEnd w:id="3"/>
    </w:p>
    <w:p>
      <w:pPr>
        <w:pStyle w:val="Style28"/>
        <w:ind w:start="5387" w:end="0"/>
        <w:rPr>
          <w:sz w:val="24"/>
          <w:szCs w:val="24"/>
        </w:rPr>
      </w:pPr>
      <w:r>
        <w:rPr>
          <w:sz w:val="24"/>
          <w:szCs w:val="24"/>
        </w:rPr>
        <w:t>«УТВЕРЖДАЮ»</w:t>
      </w:r>
    </w:p>
    <w:p>
      <w:pPr>
        <w:pStyle w:val="Style28"/>
        <w:ind w:start="5387" w:end="0"/>
        <w:rPr/>
      </w:pPr>
      <w:r>
        <w:rPr>
          <w:sz w:val="24"/>
          <w:szCs w:val="24"/>
        </w:rPr>
        <w:t>Председател</w:t>
      </w:r>
      <w:r>
        <w:rPr>
          <w:sz w:val="24"/>
          <w:szCs w:val="24"/>
          <w:lang w:val="en-US"/>
        </w:rPr>
        <w:t>ь</w:t>
      </w:r>
      <w:r>
        <w:rPr>
          <w:sz w:val="24"/>
          <w:szCs w:val="24"/>
        </w:rPr>
        <w:t xml:space="preserve"> закупочной комиссии</w:t>
      </w:r>
    </w:p>
    <w:p>
      <w:pPr>
        <w:pStyle w:val="Style28"/>
        <w:ind w:start="5387" w:end="0"/>
        <w:rPr>
          <w:sz w:val="24"/>
          <w:szCs w:val="24"/>
        </w:rPr>
      </w:pPr>
      <w:r>
        <w:rPr>
          <w:sz w:val="24"/>
          <w:szCs w:val="24"/>
        </w:rPr>
        <w:t>__________________ Понуровский В.С.</w:t>
      </w:r>
    </w:p>
    <w:p>
      <w:pPr>
        <w:pStyle w:val="Style28"/>
        <w:ind w:start="5387" w:end="0"/>
        <w:rPr>
          <w:b/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22</w:t>
      </w:r>
      <w:r>
        <w:rPr>
          <w:sz w:val="24"/>
          <w:szCs w:val="24"/>
        </w:rPr>
        <w:t>» декабря 2025 года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</w:r>
    </w:p>
    <w:p>
      <w:pPr>
        <w:pStyle w:val="16"/>
        <w:numPr>
          <w:ilvl w:val="0"/>
          <w:numId w:val="0"/>
        </w:numPr>
        <w:spacing w:lineRule="auto" w:line="240" w:before="120" w:after="0"/>
        <w:ind w:firstLine="709" w:start="0" w:end="0"/>
        <w:jc w:val="center"/>
        <w:rPr>
          <w:b/>
          <w:sz w:val="24"/>
        </w:rPr>
      </w:pPr>
      <w:r>
        <w:rPr>
          <w:b/>
          <w:sz w:val="24"/>
        </w:rPr>
        <w:t>Уведомление о внесении изменений</w:t>
      </w:r>
    </w:p>
    <w:p>
      <w:pPr>
        <w:pStyle w:val="Style28"/>
        <w:keepNext w:val="true"/>
        <w:spacing w:before="240" w:after="0"/>
        <w:jc w:val="center"/>
        <w:rPr>
          <w:b/>
          <w:bCs/>
          <w:iCs/>
          <w:sz w:val="24"/>
          <w:szCs w:val="24"/>
          <w:highlight w:val="yellow"/>
        </w:rPr>
      </w:pPr>
      <w:r>
        <w:rPr>
          <w:b/>
          <w:sz w:val="24"/>
          <w:szCs w:val="24"/>
        </w:rPr>
        <w:t xml:space="preserve">в Извещение и Документацию о закупке по </w:t>
      </w:r>
      <w:r>
        <w:rPr>
          <w:b/>
          <w:bCs/>
          <w:iCs/>
          <w:sz w:val="24"/>
          <w:szCs w:val="24"/>
        </w:rPr>
        <w:t>конкурсу в электронной форме, на право заключения договора по лоту: «ОКПД2 27.12.32.000 Поставка шкафов релейной защиты, автоматики и управления для ОП «Южно Сахалинская ТЭЦ-1» в рамках реализации инвестиционного проекта «Строительство 6-го энергоблока ОП «Южно-Сахалинская ТЭЦ-1» мощностью 50 МВт с установкой двух газотурбинных энергоагрегатов ЭГЭС-25ПА (ПИР)» для нужд ПАО «Сахалинэнерго» (Лот № 0243-ТПИР ОТМ-2026-СЭ)</w:t>
      </w:r>
    </w:p>
    <w:p>
      <w:pPr>
        <w:pStyle w:val="Normal"/>
        <w:spacing w:lineRule="auto" w:line="240"/>
        <w:ind w:hanging="0" w:end="0"/>
        <w:rPr>
          <w:b/>
          <w:bCs/>
          <w:iCs/>
          <w:sz w:val="24"/>
          <w:szCs w:val="24"/>
          <w:highlight w:val="yellow"/>
        </w:rPr>
      </w:pPr>
      <w:r>
        <w:rPr>
          <w:b/>
          <w:bCs/>
          <w:iCs/>
          <w:sz w:val="24"/>
          <w:szCs w:val="24"/>
          <w:highlight w:val="yellow"/>
        </w:rPr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sz w:val="24"/>
        </w:rPr>
      </w:pPr>
      <w:r>
        <w:rPr>
          <w:sz w:val="24"/>
        </w:rPr>
        <w:t>№</w:t>
      </w:r>
      <w:r>
        <w:rPr>
          <w:sz w:val="24"/>
          <w:lang w:val="en-US"/>
        </w:rPr>
        <w:t>1</w:t>
      </w:r>
      <w:r>
        <w:rPr>
          <w:sz w:val="24"/>
        </w:rPr>
        <w:t xml:space="preserve">                                                                                                                            «22» декабря 2025 года</w:t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16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40" w:before="0" w:after="0"/>
        <w:ind w:hanging="0" w:start="0"/>
        <w:rPr/>
      </w:pPr>
      <w:r>
        <w:rPr>
          <w:sz w:val="24"/>
          <w:u w:val="single"/>
        </w:rPr>
        <w:t>Организатор:</w:t>
      </w:r>
      <w:r>
        <w:rPr>
          <w:sz w:val="24"/>
        </w:rPr>
        <w:t xml:space="preserve"> Акционерное общество «РусГидро Снабжение» (АО «РГС»). Место нахождения: 660058, Красноярский край, г. Красноярск, ул. Деповская, д. 15. Почтовый адрес: 680021, г. Хабаровск, ул. Ленинградская, д. 46. Адрес электронной почты: </w:t>
      </w:r>
      <w:hyperlink r:id="rId3">
        <w:r>
          <w:rPr>
            <w:rStyle w:val="Hyperlink"/>
            <w:sz w:val="24"/>
          </w:rPr>
          <w:t>rgs@rushydro.ru</w:t>
        </w:r>
      </w:hyperlink>
      <w:r>
        <w:rPr>
          <w:sz w:val="24"/>
        </w:rPr>
        <w:t>. Контактный телефон: +7 (800) 333-8000.</w:t>
      </w:r>
    </w:p>
    <w:p>
      <w:pPr>
        <w:pStyle w:val="16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40" w:before="0" w:after="0"/>
        <w:ind w:hanging="0" w:start="0"/>
        <w:rPr>
          <w:sz w:val="24"/>
        </w:rPr>
      </w:pPr>
      <w:r>
        <w:rPr>
          <w:sz w:val="24"/>
        </w:rPr>
      </w:r>
    </w:p>
    <w:p>
      <w:pPr>
        <w:pStyle w:val="Style28"/>
        <w:keepNext w:val="true"/>
        <w:spacing w:before="0" w:after="0"/>
        <w:rPr>
          <w:bCs/>
          <w:iCs/>
          <w:sz w:val="24"/>
          <w:szCs w:val="24"/>
          <w:highlight w:val="yellow"/>
        </w:rPr>
      </w:pPr>
      <w:r>
        <w:rPr>
          <w:sz w:val="24"/>
          <w:szCs w:val="24"/>
          <w:u w:val="single"/>
        </w:rPr>
        <w:t>Заказчик:</w:t>
      </w:r>
      <w:r>
        <w:rPr>
          <w:sz w:val="24"/>
          <w:szCs w:val="24"/>
        </w:rPr>
        <w:t xml:space="preserve"> Публичное акционерное общество энергетики и электрификации «Сахалинэнерго» (ПАО «Сахалинэнерго»). Место нахождения: 693000, Сахалинская обл., г. Южно-Сахалинск, Коммунистический пр., д. 43. Почтовый адрес: 693000, Сахалинская обл., г. Южно-Сахалинск, Коммунистический пр., д. 43. Адрес электронной почты: </w:t>
      </w:r>
      <w:hyperlink r:id="rId4">
        <w:r>
          <w:rPr>
            <w:rStyle w:val="Hyperlink"/>
            <w:sz w:val="24"/>
            <w:szCs w:val="24"/>
          </w:rPr>
          <w:t>sah@sahen.ru</w:t>
        </w:r>
      </w:hyperlink>
      <w:r>
        <w:rPr>
          <w:sz w:val="24"/>
          <w:szCs w:val="24"/>
        </w:rPr>
        <w:t>. Контактный телефон: +7 (4242) 78-23-59.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bCs/>
          <w:iCs/>
          <w:sz w:val="24"/>
          <w:szCs w:val="24"/>
          <w:highlight w:val="yellow"/>
        </w:rPr>
      </w:pPr>
      <w:r>
        <w:rPr>
          <w:bCs/>
          <w:iCs/>
          <w:sz w:val="24"/>
          <w:szCs w:val="24"/>
          <w:highlight w:val="yellow"/>
        </w:rPr>
      </w:r>
    </w:p>
    <w:p>
      <w:pPr>
        <w:pStyle w:val="Style28"/>
        <w:keepNext w:val="true"/>
        <w:spacing w:before="0" w:after="0"/>
        <w:rPr>
          <w:sz w:val="24"/>
          <w:szCs w:val="24"/>
          <w:lang w:eastAsia="en-US"/>
        </w:rPr>
      </w:pPr>
      <w:r>
        <w:rPr>
          <w:sz w:val="24"/>
          <w:szCs w:val="24"/>
        </w:rPr>
        <w:t>Способ и предмет закупки: Конкурс в электронной форме,</w:t>
        <w:br/>
        <w:t>на право заключения договора по лоту: «ОКПД2 27.12.32.000 Поставка шкафов релейной защиты, автоматики и управления для ОП «Южно Сахалинская ТЭЦ-1» в рамках реализации инвестиционного проекта «Строительство 6-го энергоблока ОП «Южно-Сахалинская ТЭЦ-1» мощностью 50 МВт с установкой двух газотурбинных энергоагрегатов ЭГЭС-25ПА (ПИР)» для нужд ПАО «Сахалинэнерго» (Лот № 0243-ТПИР ОТМ-2026-СЭ).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/>
      </w:pPr>
      <w:r>
        <w:rPr>
          <w:sz w:val="24"/>
        </w:rPr>
        <w:t xml:space="preserve">Извещение размещено </w:t>
      </w:r>
      <w:r>
        <w:rPr>
          <w:rFonts w:eastAsia="Calibri"/>
          <w:sz w:val="24"/>
        </w:rPr>
        <w:t xml:space="preserve">в Единой информационной системе в сфере закупок, на Официальном сайте </w:t>
      </w:r>
      <w:hyperlink r:id="rId5">
        <w:r>
          <w:rPr>
            <w:rStyle w:val="Hyperlink"/>
            <w:sz w:val="24"/>
          </w:rPr>
          <w:t>www.zakupki.gov.ru</w:t>
        </w:r>
      </w:hyperlink>
      <w:r>
        <w:rPr>
          <w:sz w:val="24"/>
        </w:rPr>
        <w:t xml:space="preserve"> (далее – </w:t>
      </w:r>
      <w:r>
        <w:rPr>
          <w:bCs/>
          <w:iCs/>
          <w:sz w:val="24"/>
        </w:rPr>
        <w:t>«</w:t>
      </w:r>
      <w:r>
        <w:rPr>
          <w:sz w:val="24"/>
        </w:rPr>
        <w:t>ЕИС</w:t>
      </w:r>
      <w:r>
        <w:rPr>
          <w:bCs/>
          <w:iCs/>
          <w:sz w:val="24"/>
        </w:rPr>
        <w:t>»</w:t>
      </w:r>
      <w:r>
        <w:rPr>
          <w:sz w:val="24"/>
        </w:rPr>
        <w:t>) от 04.12.2025 г. под № 32515488011.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sz w:val="24"/>
        </w:rPr>
      </w:pPr>
      <w:r>
        <w:rPr>
          <w:sz w:val="24"/>
        </w:rPr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sz w:val="24"/>
          <w:u w:val="single"/>
        </w:rPr>
      </w:pPr>
      <w:r>
        <w:rPr>
          <w:sz w:val="24"/>
          <w:u w:val="single"/>
        </w:rPr>
        <w:t>Внесены следующие изменения в Извещение и Документацию о закупке: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851" w:leader="none"/>
        </w:tabs>
        <w:suppressAutoHyphens w:val="false"/>
        <w:autoSpaceDE w:val="false"/>
        <w:spacing w:lineRule="auto" w:line="240" w:before="0" w:after="120"/>
        <w:ind w:firstLine="567" w:start="0" w:end="0"/>
        <w:rPr>
          <w:rFonts w:eastAsia="Geneva"/>
          <w:sz w:val="24"/>
          <w:szCs w:val="24"/>
          <w:lang w:val="ru-RU" w:eastAsia="ru-RU"/>
        </w:rPr>
      </w:pPr>
      <w:r>
        <w:rPr>
          <w:rFonts w:eastAsia="Geneva"/>
          <w:sz w:val="24"/>
          <w:szCs w:val="24"/>
          <w:lang w:val="ru-RU" w:eastAsia="ru-RU"/>
        </w:rPr>
        <w:t>Пункты Документации о закупке читать в следующей редакции:</w:t>
      </w:r>
    </w:p>
    <w:tbl>
      <w:tblPr>
        <w:tblW w:w="10358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278"/>
        <w:gridCol w:w="7087"/>
      </w:tblGrid>
      <w:tr>
        <w:trPr>
          <w:trHeight w:val="27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rFonts w:eastAsia="Geneva"/>
                <w:sz w:val="24"/>
                <w:szCs w:val="24"/>
                <w:lang w:val="ru-RU" w:eastAsia="ru-RU"/>
              </w:rPr>
              <w:t>1.2.</w:t>
            </w:r>
            <w:r>
              <w:rPr>
                <w:rFonts w:eastAsia="Geneva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2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ind w:start="57" w:end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начала; дата и время окончания срока подачи заявок: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начала подачи заявок:</w:t>
            </w:r>
          </w:p>
          <w:p>
            <w:pPr>
              <w:pStyle w:val="Style28"/>
              <w:spacing w:before="0" w:after="0"/>
              <w:rPr/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 xml:space="preserve">4» </w:t>
            </w:r>
            <w:r>
              <w:rPr>
                <w:sz w:val="24"/>
                <w:szCs w:val="24"/>
                <w:lang w:val="en-US"/>
              </w:rPr>
              <w:t>декабря</w:t>
            </w:r>
            <w:r>
              <w:rPr>
                <w:sz w:val="24"/>
                <w:szCs w:val="24"/>
              </w:rPr>
              <w:t xml:space="preserve"> 2025 г.</w:t>
            </w:r>
          </w:p>
          <w:p>
            <w:pPr>
              <w:pStyle w:val="Style28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окончания срока подачи заявок:</w:t>
            </w:r>
          </w:p>
          <w:p>
            <w:pPr>
              <w:pStyle w:val="Style28"/>
              <w:spacing w:before="0" w:after="0"/>
              <w:rPr/>
            </w:pPr>
            <w:r>
              <w:rPr>
                <w:sz w:val="24"/>
                <w:szCs w:val="24"/>
              </w:rPr>
              <w:t>«13» января 2026 г. в 10 ч. 00 мин. (по московскому времени).</w:t>
            </w:r>
          </w:p>
        </w:tc>
      </w:tr>
      <w:tr>
        <w:trPr>
          <w:trHeight w:val="27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rFonts w:eastAsia="Geneva"/>
                <w:sz w:val="24"/>
                <w:szCs w:val="24"/>
                <w:lang w:val="ru-RU" w:eastAsia="ru-RU"/>
              </w:rPr>
              <w:t>1.2.</w:t>
            </w:r>
            <w:r>
              <w:rPr>
                <w:rFonts w:eastAsia="Geneva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2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предоставления Участникам разъяснений Документации о закупке: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окончания срока предоставления разъяснений:</w:t>
            </w:r>
          </w:p>
          <w:p>
            <w:pPr>
              <w:pStyle w:val="Style28"/>
              <w:spacing w:before="0" w:after="0"/>
              <w:rPr/>
            </w:pPr>
            <w:r>
              <w:rPr>
                <w:sz w:val="24"/>
                <w:szCs w:val="24"/>
              </w:rPr>
              <w:t>«13» января 2026 г. в 10 ч. 00 мин. (по московскому времени).</w:t>
            </w:r>
          </w:p>
          <w:p>
            <w:pPr>
              <w:pStyle w:val="Style28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Организатор вправе не предоставлять разъяснение, если запрос от Участника поступил позднее чем за 3 (три) рабочих дня до даты окончания срока подачи заявок, установленной в пункте 1.2.18.</w:t>
            </w:r>
          </w:p>
        </w:tc>
      </w:tr>
      <w:tr>
        <w:trPr>
          <w:trHeight w:val="83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rFonts w:eastAsia="Geneva"/>
                <w:sz w:val="24"/>
                <w:szCs w:val="24"/>
                <w:lang w:val="en-US" w:eastAsia="ru-RU"/>
              </w:rPr>
            </w:pPr>
            <w:r>
              <w:rPr>
                <w:rFonts w:eastAsia="Geneva"/>
                <w:sz w:val="24"/>
                <w:szCs w:val="24"/>
                <w:lang w:val="en-US" w:eastAsia="ru-RU"/>
              </w:rPr>
              <w:t>1.2.21</w:t>
            </w:r>
          </w:p>
        </w:tc>
        <w:tc>
          <w:tcPr>
            <w:tcW w:w="2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окончания рассмотрения заявок: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rPr/>
            </w:pPr>
            <w:r>
              <w:rPr>
                <w:sz w:val="24"/>
                <w:szCs w:val="24"/>
              </w:rPr>
              <w:t>«0</w:t>
            </w: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» февраля 2026 г.</w:t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74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rFonts w:eastAsia="Geneva"/>
                <w:sz w:val="24"/>
                <w:szCs w:val="24"/>
                <w:lang w:val="en-US" w:eastAsia="ru-RU"/>
              </w:rPr>
            </w:pPr>
            <w:r>
              <w:rPr>
                <w:rFonts w:eastAsia="Geneva"/>
                <w:sz w:val="24"/>
                <w:szCs w:val="24"/>
                <w:lang w:val="en-US" w:eastAsia="ru-RU"/>
              </w:rPr>
              <w:t>1.2.23</w:t>
            </w:r>
          </w:p>
        </w:tc>
        <w:tc>
          <w:tcPr>
            <w:tcW w:w="22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подведения</w:t>
              <w:br/>
              <w:t>итогов закупки: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0" w:after="0"/>
              <w:rPr/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04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>февраля</w:t>
            </w:r>
            <w:r>
              <w:rPr>
                <w:sz w:val="24"/>
                <w:szCs w:val="24"/>
              </w:rPr>
              <w:t xml:space="preserve"> 2026 г.</w:t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1015" w:leader="none"/>
          <w:tab w:val="left" w:pos="1197" w:leader="none"/>
        </w:tabs>
        <w:spacing w:lineRule="auto" w:line="240"/>
        <w:ind w:hanging="0" w:start="624" w:end="0"/>
        <w:rPr/>
      </w:pPr>
      <w:r>
        <w:rPr/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015" w:leader="none"/>
          <w:tab w:val="left" w:pos="1197" w:leader="none"/>
        </w:tabs>
        <w:spacing w:lineRule="auto" w:line="240"/>
        <w:ind w:firstLine="567" w:start="0" w:end="0"/>
        <w:rPr>
          <w:rFonts w:eastAsia="Calibri"/>
          <w:sz w:val="24"/>
        </w:rPr>
      </w:pPr>
      <w:r>
        <w:rPr>
          <w:rFonts w:eastAsia="Calibri"/>
          <w:sz w:val="24"/>
          <w:szCs w:val="24"/>
        </w:rPr>
        <w:t>Соответствующие изменения, указанные в пункте 1, внести в Извещение о закупке, формируемое в ЕИС.</w:t>
      </w:r>
    </w:p>
    <w:tbl>
      <w:tblPr>
        <w:tblW w:w="992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4"/>
        <w:gridCol w:w="8339"/>
      </w:tblGrid>
      <w:tr>
        <w:trPr>
          <w:trHeight w:val="80" w:hRule="atLeast"/>
        </w:trPr>
        <w:tc>
          <w:tcPr>
            <w:tcW w:w="1584" w:type="dxa"/>
            <w:tcBorders/>
          </w:tcPr>
          <w:p>
            <w:pPr>
              <w:pStyle w:val="16"/>
              <w:numPr>
                <w:ilvl w:val="0"/>
                <w:numId w:val="0"/>
              </w:numPr>
              <w:snapToGrid w:val="false"/>
              <w:spacing w:lineRule="auto" w:line="240" w:before="0" w:after="0"/>
              <w:ind w:hanging="0" w:start="0"/>
              <w:jc w:val="start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</w:r>
          </w:p>
          <w:p>
            <w:pPr>
              <w:pStyle w:val="16"/>
              <w:numPr>
                <w:ilvl w:val="0"/>
                <w:numId w:val="0"/>
              </w:numPr>
              <w:spacing w:lineRule="auto" w:line="240" w:before="0" w:after="0"/>
              <w:ind w:hanging="0" w:start="0"/>
              <w:jc w:val="start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Приложения:</w:t>
            </w:r>
          </w:p>
          <w:p>
            <w:pPr>
              <w:pStyle w:val="16"/>
              <w:numPr>
                <w:ilvl w:val="0"/>
                <w:numId w:val="0"/>
              </w:numPr>
              <w:spacing w:lineRule="auto" w:line="240" w:before="0" w:after="0"/>
              <w:ind w:hanging="0" w:start="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</w:r>
          </w:p>
        </w:tc>
        <w:tc>
          <w:tcPr>
            <w:tcW w:w="8339" w:type="dxa"/>
            <w:tcBorders/>
          </w:tcPr>
          <w:p>
            <w:pPr>
              <w:pStyle w:val="16"/>
              <w:numPr>
                <w:ilvl w:val="0"/>
                <w:numId w:val="0"/>
              </w:numPr>
              <w:tabs>
                <w:tab w:val="clear" w:pos="708"/>
                <w:tab w:val="left" w:pos="293" w:leader="none"/>
              </w:tabs>
              <w:snapToGrid w:val="false"/>
              <w:spacing w:lineRule="auto" w:line="240" w:before="0" w:after="0"/>
              <w:ind w:hanging="0" w:start="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</w:r>
          </w:p>
          <w:p>
            <w:pPr>
              <w:pStyle w:val="16"/>
              <w:numPr>
                <w:ilvl w:val="0"/>
                <w:numId w:val="4"/>
              </w:numPr>
              <w:tabs>
                <w:tab w:val="clear" w:pos="708"/>
                <w:tab w:val="left" w:pos="293" w:leader="none"/>
              </w:tabs>
              <w:spacing w:lineRule="auto" w:line="240" w:before="0" w:after="0"/>
              <w:ind w:firstLine="9" w:start="0" w:end="0"/>
              <w:rPr/>
            </w:pPr>
            <w:r>
              <w:rPr>
                <w:rFonts w:eastAsia="Calibri"/>
                <w:sz w:val="24"/>
              </w:rPr>
              <w:t>Документация о закупке в новой редакции (редакция №2 от 22.12.2025 г.)</w:t>
            </w:r>
          </w:p>
        </w:tc>
      </w:tr>
    </w:tbl>
    <w:p>
      <w:pPr>
        <w:pStyle w:val="24"/>
        <w:numPr>
          <w:ilvl w:val="0"/>
          <w:numId w:val="0"/>
        </w:numPr>
        <w:tabs>
          <w:tab w:val="clear" w:pos="708"/>
          <w:tab w:val="left" w:pos="426" w:leader="none"/>
          <w:tab w:val="left" w:pos="993" w:leader="none"/>
        </w:tabs>
        <w:spacing w:lineRule="auto" w:line="240"/>
        <w:ind w:hanging="0" w:start="0" w:end="-2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24"/>
        <w:numPr>
          <w:ilvl w:val="0"/>
          <w:numId w:val="0"/>
        </w:numPr>
        <w:tabs>
          <w:tab w:val="clear" w:pos="708"/>
          <w:tab w:val="left" w:pos="426" w:leader="none"/>
          <w:tab w:val="left" w:pos="993" w:leader="none"/>
        </w:tabs>
        <w:spacing w:lineRule="auto" w:line="240"/>
        <w:ind w:hanging="0" w:start="0" w:end="-2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Все остальные условия Извещения и Документации о закупке остаются без изменений.</w:t>
      </w:r>
    </w:p>
    <w:p>
      <w:pPr>
        <w:pStyle w:val="16"/>
        <w:numPr>
          <w:ilvl w:val="0"/>
          <w:numId w:val="0"/>
        </w:numPr>
        <w:spacing w:lineRule="auto" w:line="240" w:before="0" w:after="0"/>
        <w:ind w:hanging="0" w:start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sectPr>
      <w:type w:val="nextPage"/>
      <w:pgSz w:w="11906" w:h="16838"/>
      <w:pgMar w:left="993" w:right="701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cc" w:characterSet="windows-1251"/>
    <w:family w:val="swiss"/>
    <w:pitch w:val="variable"/>
  </w:font>
  <w:font w:name="Impact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447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russianLower"/>
      <w:lvlText w:val="%4)"/>
      <w:lvlJc w:val="start"/>
      <w:pPr>
        <w:tabs>
          <w:tab w:val="num" w:pos="1701"/>
        </w:tabs>
        <w:ind w:start="1701" w:hanging="567"/>
      </w:pPr>
      <w:rPr/>
    </w:lvl>
    <w:lvl w:ilvl="4">
      <w:start w:val="1"/>
      <w:numFmt w:val="bullet"/>
      <w:lvlText w:val="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>
        <w:b w:val="false"/>
        <w:i w:val="false"/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suppressAutoHyphens w:val="true"/>
      <w:spacing w:lineRule="auto" w:line="240" w:before="480" w:after="240"/>
      <w:ind w:hanging="0" w:start="0" w:end="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suppressAutoHyphens w:val="true"/>
      <w:spacing w:lineRule="auto" w:line="240" w:before="360" w:after="120"/>
      <w:ind w:hanging="0" w:start="0" w:end="0"/>
      <w:jc w:val="start"/>
      <w:outlineLvl w:val="1"/>
    </w:pPr>
    <w:rPr>
      <w:b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360" w:leader="none"/>
      </w:tabs>
      <w:suppressAutoHyphens w:val="true"/>
      <w:spacing w:before="60" w:after="0"/>
      <w:ind w:hanging="0" w:start="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708"/>
        <w:tab w:val="left" w:pos="360" w:leader="none"/>
      </w:tabs>
      <w:suppressAutoHyphens w:val="true"/>
      <w:spacing w:before="240" w:after="60"/>
      <w:ind w:hanging="0" w:start="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708"/>
        <w:tab w:val="left" w:pos="360" w:leader="none"/>
      </w:tabs>
      <w:suppressAutoHyphens w:val="true"/>
      <w:spacing w:before="240" w:after="60"/>
      <w:ind w:hanging="0" w:start="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tabs>
        <w:tab w:val="clear" w:pos="708"/>
        <w:tab w:val="left" w:pos="360" w:leader="none"/>
      </w:tabs>
      <w:suppressAutoHyphens w:val="true"/>
      <w:spacing w:before="240" w:after="60"/>
      <w:ind w:hanging="0" w:start="0" w:end="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708"/>
        <w:tab w:val="left" w:pos="360" w:leader="none"/>
      </w:tabs>
      <w:suppressAutoHyphens w:val="true"/>
      <w:spacing w:before="240" w:after="60"/>
      <w:ind w:hanging="0" w:start="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color w:val="000000"/>
    </w:rPr>
  </w:style>
  <w:style w:type="character" w:styleId="WW8Num3z1">
    <w:name w:val="WW8Num3z1"/>
    <w:qFormat/>
    <w:rPr/>
  </w:style>
  <w:style w:type="character" w:styleId="WW8Num5z0">
    <w:name w:val="WW8Num5z0"/>
    <w:qFormat/>
    <w:rPr/>
  </w:style>
  <w:style w:type="character" w:styleId="WW8Num5z4">
    <w:name w:val="WW8Num5z4"/>
    <w:qFormat/>
    <w:rPr>
      <w:rFonts w:ascii="Symbol" w:hAnsi="Symbol" w:cs="Symbol"/>
    </w:rPr>
  </w:style>
  <w:style w:type="character" w:styleId="WW8Num6z0">
    <w:name w:val="WW8Num6z0"/>
    <w:qFormat/>
    <w:rPr>
      <w:b w:val="false"/>
      <w:i w:val="false"/>
      <w:sz w:val="24"/>
      <w:szCs w:val="24"/>
    </w:rPr>
  </w:style>
  <w:style w:type="character" w:styleId="WW8Num2z0">
    <w:name w:val="WW8Num2z0"/>
    <w:qFormat/>
    <w:rPr/>
  </w:style>
  <w:style w:type="character" w:styleId="WW8Num5z1">
    <w:name w:val="WW8Num5z1"/>
    <w:qFormat/>
    <w:rPr/>
  </w:style>
  <w:style w:type="character" w:styleId="WW8Num6z4">
    <w:name w:val="WW8Num6z4"/>
    <w:qFormat/>
    <w:rPr>
      <w:rFonts w:ascii="Symbol" w:hAnsi="Symbol" w:cs="Symbol"/>
    </w:rPr>
  </w:style>
  <w:style w:type="character" w:styleId="WW8Num7z0">
    <w:name w:val="WW8Num7z0"/>
    <w:qFormat/>
    <w:rPr>
      <w:b w:val="false"/>
      <w:i w:val="false"/>
      <w:sz w:val="24"/>
      <w:szCs w:val="24"/>
    </w:rPr>
  </w:style>
  <w:style w:type="character" w:styleId="WW8Num8z0">
    <w:name w:val="WW8Num8z0"/>
    <w:qFormat/>
    <w:rPr/>
  </w:style>
  <w:style w:type="character" w:styleId="WW8Num4z0">
    <w:name w:val="WW8Num4z0"/>
    <w:qFormat/>
    <w:rPr/>
  </w:style>
  <w:style w:type="character" w:styleId="WW8Num8z1">
    <w:name w:val="WW8Num8z1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  <w:i w:val="false"/>
      <w:sz w:val="24"/>
      <w:szCs w:val="24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b w:val="false"/>
      <w:i w:val="false"/>
      <w:sz w:val="24"/>
      <w:szCs w:val="24"/>
    </w:rPr>
  </w:style>
  <w:style w:type="character" w:styleId="WW8Num19z1">
    <w:name w:val="WW8Num19z1"/>
    <w:qFormat/>
    <w:rPr/>
  </w:style>
  <w:style w:type="character" w:styleId="1">
    <w:name w:val="Основной шрифт абзаца1"/>
    <w:qFormat/>
    <w:rPr/>
  </w:style>
  <w:style w:type="character" w:styleId="Style7">
    <w:name w:val="комментарий"/>
    <w:qFormat/>
    <w:rPr>
      <w:b/>
      <w:i/>
      <w:shd w:fill="FFFF99" w:val="clear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11">
    <w:name w:val="Пункт Знак1"/>
    <w:qFormat/>
    <w:rPr>
      <w:sz w:val="28"/>
    </w:rPr>
  </w:style>
  <w:style w:type="character" w:styleId="Style8">
    <w:name w:val="Пункт Знак"/>
    <w:qFormat/>
    <w:rPr>
      <w:sz w:val="28"/>
      <w:lang w:bidi="ar-SA"/>
    </w:rPr>
  </w:style>
  <w:style w:type="character" w:styleId="Hyperlink">
    <w:name w:val="Hyperlink"/>
    <w:rPr>
      <w:color w:val="0000FF"/>
      <w:u w:val="single"/>
    </w:rPr>
  </w:style>
  <w:style w:type="character" w:styleId="skypepnhmark">
    <w:name w:val="skype_pnh_mark"/>
    <w:qFormat/>
    <w:rPr>
      <w:vanish/>
    </w:rPr>
  </w:style>
  <w:style w:type="character" w:styleId="skypepnhprintcontainer">
    <w:name w:val="skype_pnh_print_container"/>
    <w:qFormat/>
    <w:rPr/>
  </w:style>
  <w:style w:type="character" w:styleId="skypepnhcontainer">
    <w:name w:val="skype_pnh_container"/>
    <w:qFormat/>
    <w:rPr/>
  </w:style>
  <w:style w:type="character" w:styleId="skypepnhleftspan">
    <w:name w:val="skype_pnh_left_span"/>
    <w:qFormat/>
    <w:rPr/>
  </w:style>
  <w:style w:type="character" w:styleId="skypepnhdropartspan">
    <w:name w:val="skype_pnh_dropart_span"/>
    <w:qFormat/>
    <w:rPr/>
  </w:style>
  <w:style w:type="character" w:styleId="skypepnhdropartflagspan">
    <w:name w:val="skype_pnh_dropart_flag_span"/>
    <w:qFormat/>
    <w:rPr/>
  </w:style>
  <w:style w:type="character" w:styleId="skypepnhtextspan">
    <w:name w:val="skype_pnh_text_span"/>
    <w:qFormat/>
    <w:rPr/>
  </w:style>
  <w:style w:type="character" w:styleId="skypepnhrightspan">
    <w:name w:val="skype_pnh_right_span"/>
    <w:qFormat/>
    <w:rPr/>
  </w:style>
  <w:style w:type="character" w:styleId="Style9">
    <w:name w:val="Текст примечания Знак"/>
    <w:basedOn w:val="1"/>
    <w:qFormat/>
    <w:rPr/>
  </w:style>
  <w:style w:type="character" w:styleId="12">
    <w:name w:val="Знак примечания1"/>
    <w:qFormat/>
    <w:rPr>
      <w:sz w:val="16"/>
      <w:szCs w:val="16"/>
    </w:rPr>
  </w:style>
  <w:style w:type="character" w:styleId="Style10">
    <w:name w:val="Подподпункт Знак"/>
    <w:qFormat/>
    <w:rPr>
      <w:sz w:val="28"/>
    </w:rPr>
  </w:style>
  <w:style w:type="character" w:styleId="2">
    <w:name w:val="Пункт Знак2"/>
    <w:qFormat/>
    <w:rPr>
      <w:sz w:val="28"/>
    </w:rPr>
  </w:style>
  <w:style w:type="character" w:styleId="Style11">
    <w:name w:val="Верхний колонтитул Знак"/>
    <w:qFormat/>
    <w:rPr>
      <w:sz w:val="28"/>
    </w:rPr>
  </w:style>
  <w:style w:type="character" w:styleId="Style12">
    <w:name w:val="Нижний колонтитул Знак"/>
    <w:qFormat/>
    <w:rPr>
      <w:sz w:val="28"/>
    </w:rPr>
  </w:style>
  <w:style w:type="character" w:styleId="Style13">
    <w:name w:val="[РГ] Инструкция для организатора"/>
    <w:qFormat/>
    <w:rPr>
      <w:i/>
      <w:iCs/>
      <w:shd w:fill="FFFF99" w:val="clear"/>
    </w:rPr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/>
      <w:ind w:hanging="0" w:start="0" w:end="0"/>
      <w:textAlignment w:val="baseline"/>
    </w:pPr>
    <w:rPr>
      <w:rFonts w:ascii="Times New Roman CYR" w:hAnsi="Times New Roman CYR" w:cs="Times New Roman CYR"/>
      <w:sz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21">
    <w:name w:val="Заголовок2"/>
    <w:basedOn w:val="Normal"/>
    <w:next w:val="BodyText"/>
    <w:qFormat/>
    <w:pPr>
      <w:keepNext w:val="true"/>
      <w:spacing w:before="240" w:after="120"/>
    </w:pPr>
    <w:rPr>
      <w:rFonts w:ascii="Liberation Sans;Times New Roman" w:hAnsi="Liberation Sans;Times New Roman" w:eastAsia="Noto Sans CJK SC" w:cs="Arial Unicode MS;Arial"/>
      <w:sz w:val="28"/>
      <w:szCs w:val="28"/>
    </w:rPr>
  </w:style>
  <w:style w:type="paragraph" w:styleId="Style17">
    <w:name w:val="Название объекта"/>
    <w:basedOn w:val="Normal"/>
    <w:qFormat/>
    <w:pPr>
      <w:suppressLineNumbers/>
      <w:spacing w:before="120" w:after="120"/>
    </w:pPr>
    <w:rPr>
      <w:rFonts w:cs="Arial Unicode MS;Arial"/>
      <w:i/>
      <w:iCs/>
      <w:sz w:val="24"/>
      <w:szCs w:val="24"/>
    </w:rPr>
  </w:style>
  <w:style w:type="paragraph" w:styleId="22">
    <w:name w:val="Указатель2"/>
    <w:basedOn w:val="Normal"/>
    <w:qFormat/>
    <w:pPr>
      <w:suppressLineNumbers/>
    </w:pPr>
    <w:rPr>
      <w:rFonts w:cs="Arial Unicode MS;Arial"/>
    </w:rPr>
  </w:style>
  <w:style w:type="paragraph" w:styleId="13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;Times New Roman" w:hAnsi="Liberation Sans;Times New Roman" w:eastAsia="Arial Unicode MS;Arial" w:cs="Arial Unicode MS;Arial"/>
      <w:sz w:val="28"/>
      <w:szCs w:val="28"/>
    </w:rPr>
  </w:style>
  <w:style w:type="paragraph" w:styleId="14">
    <w:name w:val="Название объекта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15">
    <w:name w:val="Указатель1"/>
    <w:basedOn w:val="Normal"/>
    <w:qFormat/>
    <w:pPr>
      <w:suppressLineNumbers/>
    </w:pPr>
    <w:rPr/>
  </w:style>
  <w:style w:type="paragraph" w:styleId="Style18">
    <w:name w:val="Пункт"/>
    <w:basedOn w:val="Normal"/>
    <w:qFormat/>
    <w:pPr>
      <w:ind w:hanging="0" w:start="0" w:end="0"/>
    </w:pPr>
    <w:rPr/>
  </w:style>
  <w:style w:type="paragraph" w:styleId="Style19">
    <w:name w:val="Подпункт"/>
    <w:basedOn w:val="Style18"/>
    <w:qFormat/>
    <w:pPr/>
    <w:rPr/>
  </w:style>
  <w:style w:type="paragraph" w:styleId="Style20">
    <w:name w:val="Подподпункт"/>
    <w:basedOn w:val="Style19"/>
    <w:qFormat/>
    <w:pPr/>
    <w:rPr>
      <w:lang w:val="ru-RU"/>
    </w:rPr>
  </w:style>
  <w:style w:type="paragraph" w:styleId="16">
    <w:name w:val="Нумерованный список1"/>
    <w:basedOn w:val="Normal"/>
    <w:qFormat/>
    <w:pPr>
      <w:numPr>
        <w:ilvl w:val="0"/>
        <w:numId w:val="3"/>
      </w:numPr>
      <w:autoSpaceDE w:val="false"/>
      <w:spacing w:before="60" w:after="0"/>
      <w:ind w:hanging="0" w:start="0" w:end="0"/>
    </w:pPr>
    <w:rPr>
      <w:szCs w:val="24"/>
    </w:rPr>
  </w:style>
  <w:style w:type="paragraph" w:styleId="BodyTextIndent2">
    <w:name w:val="Body Text Indent 2"/>
    <w:basedOn w:val="Normal"/>
    <w:qFormat/>
    <w:pPr>
      <w:overflowPunct w:val="false"/>
      <w:autoSpaceDE w:val="false"/>
      <w:spacing w:lineRule="auto" w:line="240"/>
      <w:ind w:hanging="2257" w:start="2977" w:end="0"/>
      <w:jc w:val="start"/>
      <w:textAlignment w:val="baseline"/>
    </w:pPr>
    <w:rPr>
      <w:rFonts w:ascii="Arial" w:hAnsi="Arial" w:cs="Arial"/>
      <w:sz w:val="22"/>
    </w:rPr>
  </w:style>
  <w:style w:type="paragraph" w:styleId="Style21">
    <w:name w:val="АриалТабл"/>
    <w:basedOn w:val="Normal"/>
    <w:qFormat/>
    <w:pPr>
      <w:widowControl w:val="false"/>
      <w:spacing w:lineRule="auto" w:line="240"/>
      <w:ind w:hanging="0" w:start="0" w:end="0"/>
    </w:pPr>
    <w:rPr>
      <w:rFonts w:ascii="Arial" w:hAnsi="Arial" w:cs="Arial"/>
      <w:sz w:val="24"/>
      <w:szCs w:val="24"/>
    </w:rPr>
  </w:style>
  <w:style w:type="paragraph" w:styleId="Style2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1">
    <w:name w:val="Основной текст 21"/>
    <w:basedOn w:val="Normal"/>
    <w:qFormat/>
    <w:pPr>
      <w:spacing w:lineRule="auto" w:line="480" w:before="0" w:after="120"/>
    </w:pPr>
    <w:rPr/>
  </w:style>
  <w:style w:type="paragraph" w:styleId="23">
    <w:name w:val="Пункт2"/>
    <w:basedOn w:val="Style18"/>
    <w:qFormat/>
    <w:pPr>
      <w:keepNext w:val="true"/>
      <w:numPr>
        <w:ilvl w:val="0"/>
        <w:numId w:val="0"/>
      </w:numPr>
      <w:tabs>
        <w:tab w:val="clear" w:pos="708"/>
        <w:tab w:val="left" w:pos="1701" w:leader="none"/>
      </w:tabs>
      <w:suppressAutoHyphens w:val="true"/>
      <w:spacing w:lineRule="auto" w:line="240" w:before="240" w:after="120"/>
      <w:ind w:hanging="567" w:start="1701" w:end="0"/>
      <w:jc w:val="start"/>
      <w:outlineLvl w:val="2"/>
    </w:pPr>
    <w:rPr>
      <w:b/>
    </w:rPr>
  </w:style>
  <w:style w:type="paragraph" w:styleId="17">
    <w:name w:val="Текст примечания1"/>
    <w:basedOn w:val="Normal"/>
    <w:qFormat/>
    <w:pPr/>
    <w:rPr>
      <w:sz w:val="20"/>
    </w:rPr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Times New Roman"/>
      <w:sz w:val="22"/>
      <w:szCs w:val="22"/>
    </w:rPr>
  </w:style>
  <w:style w:type="paragraph" w:styleId="Tableheader">
    <w:name w:val="Table_header"/>
    <w:basedOn w:val="Normal"/>
    <w:qFormat/>
    <w:pPr>
      <w:spacing w:lineRule="auto" w:line="240"/>
      <w:ind w:hanging="0" w:start="0" w:end="0"/>
    </w:pPr>
    <w:rPr>
      <w:rFonts w:eastAsia="Calibri"/>
      <w:b/>
      <w:bCs/>
      <w:sz w:val="20"/>
    </w:rPr>
  </w:style>
  <w:style w:type="paragraph" w:styleId="Style24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5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paragraph" w:styleId="24">
    <w:name w:val="Нумерованный список2"/>
    <w:basedOn w:val="Normal"/>
    <w:qFormat/>
    <w:pPr>
      <w:numPr>
        <w:ilvl w:val="0"/>
        <w:numId w:val="2"/>
      </w:numPr>
      <w:spacing w:before="0" w:after="0"/>
      <w:contextualSpacing/>
    </w:pPr>
    <w:rPr/>
  </w:style>
  <w:style w:type="paragraph" w:styleId="Style28">
    <w:name w:val="[РГ] Текст"/>
    <w:basedOn w:val="Normal"/>
    <w:qFormat/>
    <w:pPr>
      <w:suppressAutoHyphens w:val="false"/>
      <w:spacing w:lineRule="auto" w:line="240" w:before="120" w:after="0"/>
      <w:ind w:hanging="0" w:start="0" w:end="0"/>
    </w:pPr>
    <w:rPr>
      <w:rFonts w:eastAsia="Calibri" w:cs="Times New Roman"/>
      <w:sz w:val="26"/>
      <w:szCs w:val="22"/>
    </w:rPr>
  </w:style>
  <w:style w:type="paragraph" w:styleId="Style29">
    <w:name w:val="[РГ] Раздел"/>
    <w:basedOn w:val="Normal"/>
    <w:next w:val="Style30"/>
    <w:qFormat/>
    <w:pPr>
      <w:keepNext w:val="true"/>
      <w:pageBreakBefore/>
      <w:numPr>
        <w:ilvl w:val="0"/>
        <w:numId w:val="5"/>
      </w:numPr>
      <w:suppressAutoHyphens w:val="false"/>
      <w:spacing w:lineRule="auto" w:line="240" w:before="0" w:after="360"/>
      <w:ind w:firstLine="567" w:start="0" w:end="0"/>
      <w:outlineLvl w:val="0"/>
    </w:pPr>
    <w:rPr>
      <w:rFonts w:eastAsia="Calibri"/>
      <w:b/>
      <w:bCs/>
      <w:caps/>
      <w:sz w:val="26"/>
      <w:szCs w:val="22"/>
    </w:rPr>
  </w:style>
  <w:style w:type="paragraph" w:styleId="Style30">
    <w:name w:val="[РГ] Подраздел"/>
    <w:basedOn w:val="Normal"/>
    <w:next w:val="Style31"/>
    <w:qFormat/>
    <w:pPr>
      <w:keepNext w:val="true"/>
      <w:numPr>
        <w:ilvl w:val="0"/>
        <w:numId w:val="5"/>
      </w:numPr>
      <w:tabs>
        <w:tab w:val="left" w:pos="708" w:leader="none"/>
      </w:tabs>
      <w:suppressAutoHyphens w:val="false"/>
      <w:spacing w:lineRule="auto" w:line="240" w:before="360" w:after="0"/>
      <w:ind w:hanging="708" w:start="2126" w:end="0"/>
      <w:outlineLvl w:val="1"/>
    </w:pPr>
    <w:rPr>
      <w:rFonts w:eastAsia="Calibri"/>
      <w:b/>
      <w:bCs/>
      <w:sz w:val="26"/>
      <w:szCs w:val="22"/>
    </w:rPr>
  </w:style>
  <w:style w:type="paragraph" w:styleId="Style31">
    <w:name w:val="[РГ] Пункт"/>
    <w:basedOn w:val="Normal"/>
    <w:qFormat/>
    <w:pPr>
      <w:numPr>
        <w:ilvl w:val="0"/>
        <w:numId w:val="5"/>
      </w:numPr>
      <w:tabs>
        <w:tab w:val="clear" w:pos="708"/>
        <w:tab w:val="left" w:pos="2835" w:leader="none"/>
      </w:tabs>
      <w:suppressAutoHyphens w:val="false"/>
      <w:spacing w:lineRule="auto" w:line="240" w:before="120" w:after="0"/>
      <w:ind w:hanging="708" w:start="2835" w:end="0"/>
      <w:outlineLvl w:val="2"/>
    </w:pPr>
    <w:rPr>
      <w:rFonts w:eastAsia="Calibri"/>
      <w:sz w:val="26"/>
      <w:szCs w:val="22"/>
    </w:rPr>
  </w:style>
  <w:style w:type="paragraph" w:styleId="Style32">
    <w:name w:val="[РГ] Подпункт"/>
    <w:basedOn w:val="Normal"/>
    <w:qFormat/>
    <w:pPr>
      <w:numPr>
        <w:ilvl w:val="0"/>
        <w:numId w:val="5"/>
      </w:numPr>
      <w:tabs>
        <w:tab w:val="left" w:pos="708" w:leader="none"/>
      </w:tabs>
      <w:suppressAutoHyphens w:val="false"/>
      <w:spacing w:lineRule="auto" w:line="240" w:before="120" w:after="0"/>
      <w:ind w:hanging="708" w:start="3540" w:end="0"/>
      <w:outlineLvl w:val="3"/>
    </w:pPr>
    <w:rPr>
      <w:rFonts w:eastAsia="Calibri"/>
      <w:sz w:val="26"/>
      <w:szCs w:val="22"/>
    </w:rPr>
  </w:style>
  <w:style w:type="paragraph" w:styleId="Style33">
    <w:name w:val="[РГ] Перечисление"/>
    <w:basedOn w:val="Normal"/>
    <w:qFormat/>
    <w:pPr>
      <w:numPr>
        <w:ilvl w:val="0"/>
        <w:numId w:val="5"/>
      </w:numPr>
      <w:tabs>
        <w:tab w:val="left" w:pos="708" w:leader="none"/>
      </w:tabs>
      <w:suppressAutoHyphens w:val="false"/>
      <w:spacing w:lineRule="auto" w:line="240" w:before="120" w:after="0"/>
      <w:ind w:hanging="708" w:start="4248" w:end="0"/>
      <w:outlineLvl w:val="4"/>
    </w:pPr>
    <w:rPr>
      <w:rFonts w:eastAsia="Calibri"/>
      <w:sz w:val="26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rgs@rushydro.ru" TargetMode="External"/><Relationship Id="rId4" Type="http://schemas.openxmlformats.org/officeDocument/2006/relationships/hyperlink" Target="mailto:sah@sahen.ru" TargetMode="External"/><Relationship Id="rId5" Type="http://schemas.openxmlformats.org/officeDocument/2006/relationships/hyperlink" Target="http://www.zakupki.gov.ru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2019-10-03T03:05:00Z</dcterms:created>
  <dc:creator>sobolev_dv</dc:creator>
  <dc:description/>
  <cp:keywords/>
  <dc:language>ru-RU</dc:language>
  <cp:lastModifiedBy>Сикан Анна Константиновна</cp:lastModifiedBy>
  <cp:lastPrinted>2015-12-02T12:56:00Z</cp:lastPrinted>
  <dcterms:modified xsi:type="dcterms:W3CDTF">2025-12-22T04:04:00Z</dcterms:modified>
  <cp:revision>7</cp:revision>
  <dc:subject/>
  <dc:title>Приглашение к открытым конкурентным переговорам</dc:title>
</cp:coreProperties>
</file>