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  <w:t>Приложение №2</w:t>
      </w:r>
    </w:p>
    <w:p>
      <w:pPr>
        <w:pStyle w:val="Normal"/>
        <w:suppressAutoHyphens w:val="true"/>
        <w:ind w:firstLine="105" w:start="-105" w:end="0"/>
        <w:rPr>
          <w:bCs/>
          <w:i/>
          <w:color w:val="000000"/>
          <w:kern w:val="2"/>
          <w:sz w:val="22"/>
          <w:szCs w:val="22"/>
        </w:rPr>
      </w:pPr>
      <w:r>
        <w:rPr>
          <w:bCs/>
          <w:i/>
          <w:color w:val="000000"/>
          <w:kern w:val="2"/>
          <w:sz w:val="22"/>
          <w:szCs w:val="22"/>
        </w:rPr>
      </w:r>
    </w:p>
    <w:p>
      <w:pPr>
        <w:pStyle w:val="Normal"/>
        <w:suppressAutoHyphens w:val="true"/>
        <w:ind w:firstLine="105" w:start="-105" w:end="0"/>
        <w:jc w:val="end"/>
        <w:rPr>
          <w:color w:val="000000"/>
          <w:kern w:val="2"/>
          <w:sz w:val="22"/>
          <w:szCs w:val="22"/>
        </w:rPr>
      </w:pPr>
      <w:r>
        <w:rPr>
          <w:color w:val="000000"/>
          <w:kern w:val="2"/>
          <w:sz w:val="22"/>
          <w:szCs w:val="22"/>
        </w:rPr>
        <w:t>УТВЕРЖДАЮ:</w:t>
      </w:r>
    </w:p>
    <w:p>
      <w:pPr>
        <w:pStyle w:val="Normal"/>
        <w:suppressAutoHyphens w:val="true"/>
        <w:ind w:firstLine="105" w:start="-105" w:end="0"/>
        <w:jc w:val="end"/>
        <w:rPr>
          <w:color w:val="000000"/>
          <w:kern w:val="2"/>
          <w:sz w:val="22"/>
          <w:szCs w:val="22"/>
        </w:rPr>
      </w:pPr>
      <w:r>
        <w:rPr>
          <w:color w:val="000000"/>
          <w:kern w:val="2"/>
          <w:sz w:val="22"/>
          <w:szCs w:val="22"/>
        </w:rPr>
        <w:t xml:space="preserve">Первый заместитель главы - начальник </w:t>
      </w:r>
    </w:p>
    <w:p>
      <w:pPr>
        <w:pStyle w:val="Normal"/>
        <w:suppressAutoHyphens w:val="true"/>
        <w:jc w:val="end"/>
        <w:rPr>
          <w:color w:val="000000"/>
          <w:kern w:val="2"/>
          <w:sz w:val="22"/>
          <w:szCs w:val="22"/>
        </w:rPr>
      </w:pPr>
      <w:r>
        <w:rPr>
          <w:color w:val="000000"/>
          <w:kern w:val="2"/>
          <w:sz w:val="22"/>
          <w:szCs w:val="22"/>
        </w:rPr>
        <w:t xml:space="preserve">Упрстрой Алатырского МО </w:t>
      </w:r>
    </w:p>
    <w:p>
      <w:pPr>
        <w:pStyle w:val="Normal"/>
        <w:suppressAutoHyphens w:val="true"/>
        <w:jc w:val="end"/>
        <w:rPr>
          <w:color w:val="000000"/>
          <w:kern w:val="2"/>
          <w:sz w:val="22"/>
          <w:szCs w:val="22"/>
          <w:lang w:eastAsia="ar-SA"/>
        </w:rPr>
      </w:pPr>
      <w:r>
        <w:rPr>
          <w:color w:val="000000"/>
          <w:kern w:val="2"/>
          <w:sz w:val="22"/>
          <w:szCs w:val="22"/>
          <w:lang w:eastAsia="ar-SA"/>
        </w:rPr>
      </w:r>
    </w:p>
    <w:p>
      <w:pPr>
        <w:pStyle w:val="Normal"/>
        <w:suppressAutoHyphens w:val="true"/>
        <w:spacing w:lineRule="auto" w:line="276"/>
        <w:jc w:val="end"/>
        <w:rPr>
          <w:color w:val="000000"/>
          <w:sz w:val="22"/>
          <w:szCs w:val="22"/>
          <w:lang w:eastAsia="ar-SA"/>
        </w:rPr>
      </w:pPr>
      <w:r>
        <w:rPr>
          <w:color w:val="000000"/>
          <w:sz w:val="22"/>
          <w:szCs w:val="22"/>
          <w:lang w:eastAsia="ar-SA"/>
        </w:rPr>
        <w:t>__________________/ С. В. Фролов</w:t>
      </w:r>
    </w:p>
    <w:p>
      <w:pPr>
        <w:pStyle w:val="Normal"/>
        <w:suppressAutoHyphens w:val="true"/>
        <w:jc w:val="end"/>
        <w:rPr>
          <w:color w:val="000000"/>
          <w:sz w:val="16"/>
          <w:szCs w:val="16"/>
          <w:lang w:eastAsia="ar-SA"/>
        </w:rPr>
      </w:pPr>
      <w:r>
        <w:rPr>
          <w:color w:val="000000"/>
          <w:sz w:val="16"/>
          <w:szCs w:val="16"/>
          <w:lang w:eastAsia="ar-SA"/>
        </w:rPr>
        <w:t xml:space="preserve">               </w:t>
      </w:r>
      <w:r>
        <w:rPr>
          <w:color w:val="000000"/>
          <w:sz w:val="16"/>
          <w:szCs w:val="16"/>
          <w:lang w:eastAsia="ar-SA"/>
        </w:rPr>
        <w:t>(подпись)                             Ф.И.О.</w:t>
      </w:r>
    </w:p>
    <w:p>
      <w:pPr>
        <w:pStyle w:val="Normal"/>
        <w:jc w:val="center"/>
        <w:rPr>
          <w:bCs/>
          <w:i/>
          <w:sz w:val="22"/>
          <w:szCs w:val="22"/>
        </w:rPr>
      </w:pPr>
      <w:r>
        <w:rPr>
          <w:color w:val="000000"/>
          <w:sz w:val="16"/>
          <w:szCs w:val="16"/>
          <w:lang w:eastAsia="ar-SA"/>
        </w:rPr>
        <w:t xml:space="preserve">                                                                                                     </w:t>
      </w:r>
      <w:r>
        <w:rPr>
          <w:color w:val="000000"/>
          <w:sz w:val="16"/>
          <w:szCs w:val="16"/>
          <w:lang w:eastAsia="ar-SA"/>
        </w:rPr>
        <w:t>м.п.</w:t>
      </w:r>
    </w:p>
    <w:p>
      <w:pPr>
        <w:pStyle w:val="Normal"/>
        <w:suppressAutoHyphens w:val="true"/>
        <w:ind w:start="5103" w:end="0"/>
        <w:jc w:val="end"/>
        <w:rPr>
          <w:b/>
          <w:bCs/>
          <w:i/>
          <w:sz w:val="22"/>
          <w:szCs w:val="22"/>
        </w:rPr>
      </w:pPr>
      <w:r>
        <w:rPr>
          <w:b/>
          <w:bCs/>
          <w:i/>
          <w:sz w:val="22"/>
          <w:szCs w:val="22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ОБОСНОВАНИЕ НАЧАЛЬНОЙ (МАКСИМАЛЬНОЙ) ЦЕНЫ </w:t>
      </w:r>
    </w:p>
    <w:p>
      <w:pPr>
        <w:pStyle w:val="Normal"/>
        <w:suppressAutoHyphens w:val="true"/>
        <w:ind w:hanging="3" w:end="0"/>
        <w:jc w:val="both"/>
        <w:rPr/>
      </w:pPr>
      <w:r>
        <w:rPr>
          <w:sz w:val="22"/>
          <w:szCs w:val="22"/>
          <w:lang w:eastAsia="en-US"/>
        </w:rPr>
        <w:t>Расчет произведен на основании «Методических рекомендаций по применению методов определения начальной (максимальной) цены договора, цены договора, заключаемого с единственным пост</w:t>
      </w:r>
      <w:r>
        <w:rPr/>
        <w:t>авщиком (подрядчиком, исполнителем)» утвержденных приказом Минэкономразвития России от 2 октября 2013 г. № 567.</w:t>
      </w:r>
    </w:p>
    <w:tbl>
      <w:tblPr>
        <w:tblW w:w="14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95"/>
        <w:gridCol w:w="10489"/>
      </w:tblGrid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Основные характеристики объекта закупки</w:t>
            </w:r>
          </w:p>
        </w:tc>
        <w:tc>
          <w:tcPr>
            <w:tcW w:w="10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Указаны в техническом задании</w:t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Используемый метод определения НМЦК с обоснованием</w:t>
            </w:r>
          </w:p>
        </w:tc>
        <w:tc>
          <w:tcPr>
            <w:tcW w:w="10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/>
            </w:pPr>
            <w:r>
              <w:rPr>
                <w:sz w:val="22"/>
                <w:szCs w:val="22"/>
                <w:lang w:eastAsia="ar-SA"/>
              </w:rPr>
              <w:t xml:space="preserve">Метод определения начальной (максимальной) цены контракта: иной метод - сметный (в соответствии с п.12 ст.22 Федерального закона № 44-ФЗ). </w:t>
            </w:r>
          </w:p>
          <w:p>
            <w:pPr>
              <w:pStyle w:val="Normal"/>
              <w:suppressAutoHyphens w:val="true"/>
              <w:jc w:val="both"/>
              <w:rPr/>
            </w:pPr>
            <w:r>
              <w:rPr>
                <w:sz w:val="22"/>
                <w:szCs w:val="22"/>
                <w:lang w:eastAsia="ar-SA"/>
              </w:rPr>
              <w:t xml:space="preserve">Обоснование невозможности применения методов определения начальной (максимальной) цены контракта, предусмотренных ч.1 ст.22 Федерального закона № 44-ФЗ: </w:t>
            </w:r>
          </w:p>
          <w:p>
            <w:pPr>
              <w:pStyle w:val="Normal"/>
              <w:suppressAutoHyphens w:val="true"/>
              <w:jc w:val="both"/>
              <w:rPr/>
            </w:pPr>
            <w:r>
              <w:rPr>
                <w:sz w:val="22"/>
                <w:szCs w:val="22"/>
                <w:lang w:eastAsia="ar-SA"/>
              </w:rPr>
              <w:t>1) Метод сопоставимых рыночных цен (анализа рынка) - отсутствие на рынке идентичных и однородных услуг, совпадающих по функциональным, техническим, качественным и эксплуатационным характеристикам с объектами закупки (определяемыми в соответствии с требованиями ст.33 Федерального закона № 44-ФЗ);</w:t>
            </w:r>
          </w:p>
          <w:p>
            <w:pPr>
              <w:pStyle w:val="Normal"/>
              <w:suppressAutoHyphens w:val="true"/>
              <w:jc w:val="both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2) Нормативный метод - объект закупки не предусматривает установление цены и норматива затрат при определении НМЦК (в соответствии со ст.19 Федерального закона № 44-ФЗ);</w:t>
            </w:r>
          </w:p>
          <w:p>
            <w:pPr>
              <w:pStyle w:val="Normal"/>
              <w:suppressAutoHyphens w:val="true"/>
              <w:jc w:val="both"/>
              <w:rPr/>
            </w:pPr>
            <w:r>
              <w:rPr>
                <w:sz w:val="22"/>
                <w:szCs w:val="22"/>
                <w:lang w:eastAsia="ar-SA"/>
              </w:rPr>
              <w:t>3) Тарифный метод - объект закупки в соответствии с законодательством РФ не относится к перечню товаров, работ и услуг, цены на которые подлежат государственному регулированию или установлены муниципальными правовыми актами;</w:t>
            </w:r>
          </w:p>
          <w:p>
            <w:pPr>
              <w:pStyle w:val="Normal"/>
              <w:suppressAutoHyphens w:val="true"/>
              <w:jc w:val="both"/>
              <w:rPr/>
            </w:pPr>
            <w:r>
              <w:rPr>
                <w:sz w:val="22"/>
                <w:szCs w:val="22"/>
                <w:lang w:eastAsia="ar-SA"/>
              </w:rPr>
              <w:t>4) Затратный метод - расчёт НМЦК рассчитывается сметным методом, а не как суммы произведенных затрат и обычной для определенной сферы деятельности прибыли;</w:t>
            </w:r>
          </w:p>
          <w:p>
            <w:pPr>
              <w:pStyle w:val="Normal"/>
              <w:widowControl w:val="false"/>
              <w:suppressAutoHyphens w:val="true"/>
              <w:autoSpaceDE w:val="false"/>
              <w:jc w:val="both"/>
              <w:rPr/>
            </w:pPr>
            <w:r>
              <w:rPr>
                <w:sz w:val="22"/>
                <w:szCs w:val="22"/>
                <w:lang w:eastAsia="ar-SA"/>
              </w:rPr>
              <w:t>5) Проектно-сметный метод - объект закупки не соответствует перечню объектов, указанных в п.9 и п.9.1 ст.22 Федерального закона № 44-ФЗ.</w:t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Расчет НМЦК</w:t>
            </w:r>
          </w:p>
        </w:tc>
        <w:tc>
          <w:tcPr>
            <w:tcW w:w="10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autoSpaceDE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lang w:eastAsia="ar-SA"/>
              </w:rPr>
              <w:t xml:space="preserve">Расчет НМЦК произведен по локальному сметному расчету </w:t>
            </w:r>
            <w:r>
              <w:rPr>
                <w:color w:val="000000"/>
                <w:sz w:val="22"/>
                <w:szCs w:val="22"/>
              </w:rPr>
              <w:t>в ценах по состоянию на 4 квартал 2025 года.</w:t>
            </w:r>
          </w:p>
          <w:p>
            <w:pPr>
              <w:pStyle w:val="Normal"/>
              <w:widowControl w:val="false"/>
              <w:suppressAutoHyphens w:val="true"/>
              <w:autoSpaceDE w:val="false"/>
              <w:jc w:val="both"/>
              <w:rPr/>
            </w:pPr>
            <w:r>
              <w:rPr>
                <w:sz w:val="22"/>
                <w:szCs w:val="22"/>
                <w:lang w:eastAsia="ar-SA"/>
              </w:rPr>
              <w:t>Цена Договора включает в себя все расходы Подрядчика на выполнение всего предусмотренного объема работ, приобретение, доставку, разгрузку необходимых средств, материалов, оборудования, а также уплату налогов, сборов и других обязательных платежей, в т.ч., возникающих в процессе выполнения работ и сдачи их Заказчику, иные затраты, напрямую или косвенно связанные с выполнением работ.</w:t>
            </w:r>
          </w:p>
        </w:tc>
      </w:tr>
    </w:tbl>
    <w:p>
      <w:pPr>
        <w:pStyle w:val="Normal"/>
        <w:suppressAutoHyphens w:val="true"/>
        <w:autoSpaceDE w:val="false"/>
        <w:ind w:firstLine="708" w:end="0"/>
        <w:jc w:val="center"/>
        <w:rPr>
          <w:rFonts w:eastAsia="Calibri"/>
          <w:i/>
          <w:sz w:val="22"/>
          <w:szCs w:val="22"/>
          <w:lang w:eastAsia="ar-SA"/>
        </w:rPr>
      </w:pPr>
      <w:r>
        <w:rPr>
          <w:rFonts w:eastAsia="Calibri"/>
          <w:i/>
          <w:sz w:val="22"/>
          <w:szCs w:val="22"/>
          <w:lang w:eastAsia="ar-SA"/>
        </w:rPr>
        <w:t>Локально-сметный расчет приложен отдельным файлом к извещению)</w:t>
      </w:r>
    </w:p>
    <w:p>
      <w:pPr>
        <w:pStyle w:val="Normal"/>
        <w:suppressAutoHyphens w:val="true"/>
        <w:autoSpaceDE w:val="false"/>
        <w:spacing w:before="0" w:after="60"/>
        <w:jc w:val="center"/>
        <w:rPr/>
      </w:pPr>
      <w:r>
        <w:rPr>
          <w:rFonts w:eastAsia="Calibri"/>
          <w:b/>
          <w:i/>
          <w:sz w:val="22"/>
          <w:szCs w:val="22"/>
          <w:lang w:eastAsia="ar-SA"/>
        </w:rPr>
        <w:t>Начальная (максимальная) цена договора –</w:t>
      </w:r>
      <w:r>
        <w:rPr>
          <w:b/>
          <w:bCs/>
          <w:i/>
          <w:iCs/>
          <w:color w:val="000000"/>
          <w:sz w:val="22"/>
          <w:szCs w:val="22"/>
        </w:rPr>
        <w:t>84 976,99 (Восемьдесят четыре тысячи девятьсот семьдесят шесть) рублей 99 копеек</w:t>
      </w:r>
    </w:p>
    <w:sectPr>
      <w:footerReference w:type="default" r:id="rId2"/>
      <w:type w:val="nextPage"/>
      <w:pgSz w:orient="landscape" w:w="16838" w:h="11906"/>
      <w:pgMar w:left="1276" w:right="719" w:gutter="0" w:header="0" w:top="568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Verdan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736.1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center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"/>
      <w:lvlJc w:val="start"/>
      <w:pPr>
        <w:tabs>
          <w:tab w:val="num" w:pos="1931"/>
        </w:tabs>
        <w:ind w:start="513" w:firstLine="567"/>
      </w:pPr>
      <w:rPr>
        <w:rFonts w:ascii="Times New Roman" w:hAnsi="Times New Roman" w:eastAsia="Times New Roman" w:cs="Times New Roman"/>
        <w:i w:val="false"/>
        <w:iCs/>
      </w:rPr>
    </w:lvl>
    <w:lvl w:ilvl="2">
      <w:start w:val="1"/>
      <w:numFmt w:val="decimal"/>
      <w:lvlText w:val="%1.%2.%3."/>
      <w:lvlJc w:val="start"/>
      <w:pPr>
        <w:tabs>
          <w:tab w:val="num" w:pos="1418"/>
        </w:tabs>
        <w:ind w:start="0" w:firstLine="567"/>
      </w:pPr>
      <w:rPr/>
    </w:lvl>
    <w:lvl w:ilvl="3">
      <w:start w:val="1"/>
      <w:numFmt w:val="russianLower"/>
      <w:lvlText w:val="%4)"/>
      <w:lvlJc w:val="start"/>
      <w:pPr>
        <w:tabs>
          <w:tab w:val="num" w:pos="851"/>
        </w:tabs>
        <w:ind w:start="567" w:firstLine="567"/>
      </w:pPr>
      <w:rPr/>
    </w:lvl>
    <w:lvl w:ilvl="4">
      <w:start w:val="1"/>
      <w:numFmt w:val="decimal"/>
      <w:lvlText w:val="%1.%2.%3.%4.%5."/>
      <w:lvlJc w:val="start"/>
      <w:pPr>
        <w:tabs>
          <w:tab w:val="num" w:pos="43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504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76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84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7560"/>
        </w:tabs>
        <w:ind w:start="4320" w:hanging="1440"/>
      </w:pPr>
      <w:rPr/>
    </w:lvl>
  </w:abstractNum>
  <w:abstractNum w:abstractNumId="3">
    <w:lvl w:ilvl="0">
      <w:start w:val="3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928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2138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2847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3916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625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5694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6403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7472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60"/>
      </w:pPr>
      <w:rPr>
        <w:b/>
        <w:i w:val="false"/>
        <w:color w:val="000000"/>
        <w:sz w:val="24"/>
        <w:szCs w:val="24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672" w:hanging="432"/>
      </w:pPr>
      <w:rPr>
        <w:b/>
        <w:i w:val="false"/>
        <w:color w:val="000000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0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rFonts w:ascii="Times New Roman" w:hAnsi="Times New Roman" w:eastAsia="Times New Roman" w:cs="Times New Roman"/>
      <w:i w:val="false"/>
      <w:iCs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b/>
      <w:i w:val="false"/>
      <w:color w:val="000000"/>
      <w:sz w:val="24"/>
      <w:szCs w:val="24"/>
    </w:rPr>
  </w:style>
  <w:style w:type="character" w:styleId="WW8Num13z1">
    <w:name w:val="WW8Num13z1"/>
    <w:qFormat/>
    <w:rPr>
      <w:b/>
      <w:i w:val="false"/>
      <w:color w:val="000000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Courier New" w:hAnsi="Courier New" w:cs="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Style12">
    <w:name w:val="Основной шрифт абзаца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Style13">
    <w:name w:val="Верхний колонтитул Знак"/>
    <w:qFormat/>
    <w:rPr>
      <w:sz w:val="24"/>
      <w:szCs w:val="24"/>
    </w:rPr>
  </w:style>
  <w:style w:type="character" w:styleId="Style14">
    <w:name w:val="Нижний колонтитул Знак"/>
    <w:qFormat/>
    <w:rPr>
      <w:sz w:val="24"/>
      <w:szCs w:val="24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ConsPlusNonformat">
    <w:name w:val="ConsPlusNonformat Знак"/>
    <w:qFormat/>
    <w:rPr>
      <w:rFonts w:ascii="Courier New" w:hAnsi="Courier New" w:cs="Courier New"/>
      <w:lang w:bidi="ar-SA"/>
    </w:rPr>
  </w:style>
  <w:style w:type="character" w:styleId="FooterChar">
    <w:name w:val="Footer Char"/>
    <w:qFormat/>
    <w:rPr>
      <w:rFonts w:ascii="Calibri" w:hAnsi="Calibri" w:cs="Calibri"/>
    </w:rPr>
  </w:style>
  <w:style w:type="character" w:styleId="Style16">
    <w:name w:val="Основной текст Знак"/>
    <w:qFormat/>
    <w:rPr>
      <w:rFonts w:ascii="Calibri" w:hAnsi="Calibri" w:cs="Calibri"/>
      <w:lang w:bidi="ar-SA"/>
    </w:rPr>
  </w:style>
  <w:style w:type="character" w:styleId="Style17">
    <w:name w:val="Гипертекстовая ссылка"/>
    <w:qFormat/>
    <w:rPr>
      <w:b/>
      <w:color w:val="008000"/>
    </w:rPr>
  </w:style>
  <w:style w:type="character" w:styleId="Style18">
    <w:name w:val="Подзаголовок Знак"/>
    <w:qFormat/>
    <w:rPr>
      <w:rFonts w:ascii="Cambria" w:hAnsi="Cambria" w:eastAsia="Calibri" w:cs="Cambria"/>
      <w:sz w:val="24"/>
      <w:szCs w:val="24"/>
      <w:lang w:bidi="ar-SA"/>
    </w:rPr>
  </w:style>
  <w:style w:type="character" w:styleId="Style19">
    <w:name w:val="Текст сноски Знак"/>
    <w:qFormat/>
    <w:rPr>
      <w:lang w:bidi="ar-SA"/>
    </w:rPr>
  </w:style>
  <w:style w:type="character" w:styleId="Style20">
    <w:name w:val="Символ сноски"/>
    <w:qFormat/>
    <w:rPr>
      <w:vertAlign w:val="superscript"/>
    </w:rPr>
  </w:style>
  <w:style w:type="character" w:styleId="FontStyle14">
    <w:name w:val="Font Style14"/>
    <w:qFormat/>
    <w:rPr>
      <w:rFonts w:ascii="Times New Roman" w:hAnsi="Times New Roman" w:cs="Times New Roman"/>
      <w:sz w:val="26"/>
      <w:szCs w:val="26"/>
    </w:rPr>
  </w:style>
  <w:style w:type="character" w:styleId="3">
    <w:name w:val=" Знак Знак3"/>
    <w:qFormat/>
    <w:rPr>
      <w:rFonts w:ascii="Cambria" w:hAnsi="Cambria" w:eastAsia="Times New Roman" w:cs="Times New Roman"/>
      <w:sz w:val="24"/>
      <w:szCs w:val="24"/>
    </w:rPr>
  </w:style>
  <w:style w:type="character" w:styleId="Style21">
    <w:name w:val="Текст ТД Знак"/>
    <w:qFormat/>
    <w:rPr>
      <w:rFonts w:eastAsia="Calibri"/>
      <w:sz w:val="24"/>
      <w:szCs w:val="24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FontStyle12">
    <w:name w:val="Font Style12"/>
    <w:qFormat/>
    <w:rPr>
      <w:rFonts w:ascii="Times New Roman" w:hAnsi="Times New Roman" w:cs="Times New Roman"/>
      <w:b/>
      <w:bCs/>
      <w:sz w:val="22"/>
      <w:szCs w:val="22"/>
    </w:rPr>
  </w:style>
  <w:style w:type="character" w:styleId="FontStyle13">
    <w:name w:val="Font Style13"/>
    <w:qFormat/>
    <w:rPr>
      <w:rFonts w:ascii="Times New Roman" w:hAnsi="Times New Roman" w:cs="Times New Roman"/>
      <w:sz w:val="22"/>
      <w:szCs w:val="22"/>
    </w:rPr>
  </w:style>
  <w:style w:type="character" w:styleId="Strong">
    <w:name w:val="Strong"/>
    <w:qFormat/>
    <w:rPr>
      <w:rFonts w:cs="Times New Roman"/>
      <w:b/>
      <w:bCs/>
    </w:rPr>
  </w:style>
  <w:style w:type="character" w:styleId="Style22">
    <w:name w:val="Обычный (Интернет) Знак"/>
    <w:qFormat/>
    <w:rPr>
      <w:sz w:val="23"/>
      <w:szCs w:val="23"/>
      <w:lang w:bidi="ar-SA"/>
    </w:rPr>
  </w:style>
  <w:style w:type="character" w:styleId="FontStyle18">
    <w:name w:val="Font Style18"/>
    <w:qFormat/>
    <w:rPr>
      <w:rFonts w:ascii="Times New Roman" w:hAnsi="Times New Roman" w:cs="Times New Roman"/>
      <w:sz w:val="20"/>
      <w:szCs w:val="20"/>
    </w:rPr>
  </w:style>
  <w:style w:type="character" w:styleId="FontStyle15">
    <w:name w:val="Font Style15"/>
    <w:qFormat/>
    <w:rPr>
      <w:rFonts w:ascii="Times New Roman" w:hAnsi="Times New Roman" w:cs="Times New Roman"/>
      <w:b/>
      <w:bCs/>
      <w:sz w:val="24"/>
      <w:szCs w:val="24"/>
    </w:rPr>
  </w:style>
  <w:style w:type="character" w:styleId="ConsPlusNormal">
    <w:name w:val="ConsPlusNormal Знак"/>
    <w:qFormat/>
    <w:rPr>
      <w:rFonts w:ascii="Arial" w:hAnsi="Arial" w:eastAsia="Calibri" w:cs="Arial"/>
      <w:lang w:bidi="ar-SA"/>
    </w:rPr>
  </w:style>
  <w:style w:type="character" w:styleId="HeaderChar">
    <w:name w:val="Header Char"/>
    <w:qFormat/>
    <w:rPr>
      <w:rFonts w:ascii="Arial" w:hAnsi="Arial" w:cs="Times New Roman"/>
      <w:sz w:val="20"/>
      <w:szCs w:val="20"/>
      <w:lang w:val="ru-RU" w:eastAsia="ru-RU"/>
    </w:rPr>
  </w:style>
  <w:style w:type="character" w:styleId="ep">
    <w:name w:val="ep"/>
    <w:basedOn w:val="Style12"/>
    <w:qFormat/>
    <w:rPr/>
  </w:style>
  <w:style w:type="character" w:styleId="NoSpacingChar">
    <w:name w:val="No Spacing Char"/>
    <w:qFormat/>
    <w:rPr>
      <w:rFonts w:ascii="Calibri" w:hAnsi="Calibri" w:eastAsia="Calibri" w:cs="Calibri"/>
      <w:sz w:val="22"/>
      <w:szCs w:val="22"/>
      <w:lang w:bidi="ar-SA"/>
    </w:rPr>
  </w:style>
  <w:style w:type="character" w:styleId="Style23">
    <w:name w:val="Заголовок Знак"/>
    <w:qFormat/>
    <w:rPr>
      <w:b/>
      <w:bCs/>
      <w:sz w:val="24"/>
      <w:szCs w:val="24"/>
      <w:lang w:bidi="ar-SA"/>
    </w:rPr>
  </w:style>
  <w:style w:type="character" w:styleId="2">
    <w:name w:val="Основной текст с отступом 2 Знак"/>
    <w:qFormat/>
    <w:rPr>
      <w:color w:val="000000"/>
      <w:sz w:val="24"/>
      <w:lang w:bidi="ar-SA"/>
    </w:rPr>
  </w:style>
  <w:style w:type="character" w:styleId="21">
    <w:name w:val="Основной текст 2 Знак"/>
    <w:qFormat/>
    <w:rPr>
      <w:color w:val="000000"/>
      <w:sz w:val="24"/>
      <w:lang w:bidi="ar-SA"/>
    </w:rPr>
  </w:style>
  <w:style w:type="character" w:styleId="Style24">
    <w:name w:val="Цветовое выделение"/>
    <w:qFormat/>
    <w:rPr>
      <w:b/>
      <w:color w:val="000080"/>
    </w:rPr>
  </w:style>
  <w:style w:type="character" w:styleId="ListParagraphChar">
    <w:name w:val="List Paragraph Char"/>
    <w:qFormat/>
    <w:rPr>
      <w:rFonts w:ascii="Calibri" w:hAnsi="Calibri" w:cs="Calibri"/>
      <w:sz w:val="22"/>
      <w:szCs w:val="22"/>
      <w:lang w:bidi="ar-SA"/>
    </w:rPr>
  </w:style>
  <w:style w:type="character" w:styleId="Style25">
    <w:name w:val="Без интервала Знак"/>
    <w:qFormat/>
    <w:rPr>
      <w:lang w:bidi="ar-SA"/>
    </w:rPr>
  </w:style>
  <w:style w:type="character" w:styleId="HTML">
    <w:name w:val="Адрес HTML Знак"/>
    <w:qFormat/>
    <w:rPr>
      <w:i/>
      <w:i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iceouttxt6">
    <w:name w:val="iceouttxt6"/>
    <w:qFormat/>
    <w:rPr>
      <w:rFonts w:ascii="Arial" w:hAnsi="Arial" w:cs="Arial"/>
      <w:color w:val="666666"/>
      <w:sz w:val="15"/>
      <w:szCs w:val="15"/>
    </w:rPr>
  </w:style>
  <w:style w:type="character" w:styleId="propertyname">
    <w:name w:val="property_name"/>
    <w:basedOn w:val="Style12"/>
    <w:qFormat/>
    <w:rPr/>
  </w:style>
  <w:style w:type="character" w:styleId="Style26">
    <w:name w:val="Абзац списка Знак"/>
    <w:qFormat/>
    <w:rPr>
      <w:sz w:val="24"/>
      <w:szCs w:val="24"/>
    </w:rPr>
  </w:style>
  <w:style w:type="character" w:styleId="Web1">
    <w:name w:val="Обычный (Web) Знак1"/>
    <w:qFormat/>
    <w:rPr>
      <w:rFonts w:ascii="Times New Roman" w:hAnsi="Times New Roman" w:eastAsia="Times New Roman" w:cs="Times New Roman"/>
      <w:sz w:val="23"/>
      <w:szCs w:val="23"/>
    </w:rPr>
  </w:style>
  <w:style w:type="character" w:styleId="Style27">
    <w:name w:val="Неразрешенное упоминание"/>
    <w:qFormat/>
    <w:rPr>
      <w:color w:val="605E5C"/>
      <w:shd w:fill="E1DFDD" w:val="clear"/>
    </w:rPr>
  </w:style>
  <w:style w:type="character" w:styleId="PageNumber">
    <w:name w:val="page number"/>
    <w:rPr/>
  </w:style>
  <w:style w:type="paragraph" w:styleId="Style28">
    <w:name w:val="Заголовок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0"/>
      <w:szCs w:val="20"/>
    </w:rPr>
  </w:style>
  <w:style w:type="paragraph" w:styleId="List">
    <w:name w:val="List"/>
    <w:basedOn w:val="Normal"/>
    <w:pPr>
      <w:ind w:hanging="283" w:start="283" w:end="0"/>
    </w:pPr>
    <w:rPr>
      <w:rFonts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9">
    <w:name w:val="Указатель"/>
    <w:basedOn w:val="Normal"/>
    <w:qFormat/>
    <w:pPr>
      <w:suppressLineNumbers/>
    </w:pPr>
    <w:rPr>
      <w:rFonts w:cs="Arial"/>
    </w:rPr>
  </w:style>
  <w:style w:type="paragraph" w:styleId="ConsPlusNonformat1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CharChar">
    <w:name w:val="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3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31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2">
    <w:name w:val="Знак"/>
    <w:basedOn w:val="Normal"/>
    <w:qFormat/>
    <w:pPr/>
    <w:rPr>
      <w:rFonts w:ascii="Verdana" w:hAnsi="Verdana" w:cs="Verdana"/>
      <w:sz w:val="20"/>
      <w:szCs w:val="20"/>
      <w:lang w:val="en-US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Calibri" w:cs="Arial"/>
      <w:color w:val="auto"/>
      <w:sz w:val="20"/>
      <w:szCs w:val="20"/>
      <w:lang w:bidi="ar-SA" w:val="ru-RU" w:eastAsia="zh-CN"/>
    </w:rPr>
  </w:style>
  <w:style w:type="paragraph" w:styleId="31">
    <w:name w:val="аголовок 31"/>
    <w:basedOn w:val="Normal"/>
    <w:next w:val="Normal"/>
    <w:qFormat/>
    <w:pPr>
      <w:keepNext w:val="true"/>
      <w:jc w:val="both"/>
    </w:pPr>
    <w:rPr>
      <w:rFonts w:eastAsia="Calibri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bidi="ar-SA" w:val="ru-RU" w:eastAsia="zh-CN"/>
    </w:rPr>
  </w:style>
  <w:style w:type="paragraph" w:styleId="Subtitle">
    <w:name w:val="Subtitle"/>
    <w:basedOn w:val="Normal"/>
    <w:next w:val="Normal"/>
    <w:qFormat/>
    <w:pPr>
      <w:spacing w:lineRule="auto" w:line="276" w:before="0" w:after="60"/>
      <w:jc w:val="center"/>
      <w:outlineLvl w:val="1"/>
    </w:pPr>
    <w:rPr>
      <w:rFonts w:ascii="Cambria" w:hAnsi="Cambria" w:eastAsia="Calibri" w:cs="Cambria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33">
    <w:name w:val="Абзац списка"/>
    <w:basedOn w:val="Normal"/>
    <w:qFormat/>
    <w:pPr>
      <w:ind w:hanging="0" w:start="708" w:end="0"/>
      <w:jc w:val="both"/>
    </w:pPr>
    <w:rPr>
      <w:lang w:val="ru-RU"/>
    </w:rPr>
  </w:style>
  <w:style w:type="paragraph" w:styleId="Style34">
    <w:name w:val="Текст ТД"/>
    <w:basedOn w:val="Normal"/>
    <w:qFormat/>
    <w:pPr>
      <w:numPr>
        <w:ilvl w:val="0"/>
        <w:numId w:val="4"/>
      </w:numPr>
      <w:autoSpaceDE w:val="false"/>
      <w:spacing w:before="0" w:after="200"/>
      <w:jc w:val="both"/>
    </w:pPr>
    <w:rPr>
      <w:rFonts w:eastAsia="Calibri"/>
      <w:lang w:val="ru-RU"/>
    </w:rPr>
  </w:style>
  <w:style w:type="paragraph" w:styleId="Style35">
    <w:name w:val="Цитаты"/>
    <w:basedOn w:val="Normal"/>
    <w:qFormat/>
    <w:pPr>
      <w:autoSpaceDE w:val="false"/>
      <w:spacing w:before="100" w:after="100"/>
      <w:ind w:hanging="0" w:start="360" w:end="360"/>
    </w:pPr>
    <w:rPr>
      <w:sz w:val="20"/>
    </w:rPr>
  </w:style>
  <w:style w:type="paragraph" w:styleId="Style36">
    <w:name w:val="Содержимое таблицы"/>
    <w:basedOn w:val="Normal"/>
    <w:qFormat/>
    <w:pPr>
      <w:widowControl w:val="false"/>
      <w:suppressLineNumbers/>
      <w:suppressAutoHyphens w:val="true"/>
      <w:spacing w:lineRule="atLeast" w:line="100"/>
      <w:textAlignment w:val="baseline"/>
    </w:pPr>
    <w:rPr>
      <w:rFonts w:cs="Tahoma"/>
      <w:kern w:val="2"/>
      <w:lang w:val="de-DE" w:bidi="fa-IR"/>
    </w:rPr>
  </w:style>
  <w:style w:type="paragraph" w:styleId="Style37">
    <w:name w:val="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Web">
    <w:name w:val="Обычный (Web)"/>
    <w:basedOn w:val="Normal"/>
    <w:qFormat/>
    <w:pPr>
      <w:suppressAutoHyphens w:val="true"/>
      <w:spacing w:before="280" w:after="280"/>
    </w:pPr>
    <w:rPr/>
  </w:style>
  <w:style w:type="paragraph" w:styleId="Style38">
    <w:name w:val="Style3"/>
    <w:basedOn w:val="Normal"/>
    <w:qFormat/>
    <w:pPr>
      <w:widowControl w:val="false"/>
      <w:autoSpaceDE w:val="false"/>
    </w:pPr>
    <w:rPr/>
  </w:style>
  <w:style w:type="paragraph" w:styleId="Style41">
    <w:name w:val="Style4"/>
    <w:basedOn w:val="Normal"/>
    <w:qFormat/>
    <w:pPr>
      <w:widowControl w:val="false"/>
      <w:autoSpaceDE w:val="false"/>
    </w:pPr>
    <w:rPr/>
  </w:style>
  <w:style w:type="paragraph" w:styleId="Style51">
    <w:name w:val="Style5"/>
    <w:basedOn w:val="Normal"/>
    <w:qFormat/>
    <w:pPr>
      <w:widowControl w:val="false"/>
      <w:autoSpaceDE w:val="false"/>
      <w:spacing w:lineRule="exact" w:line="274"/>
      <w:jc w:val="center"/>
    </w:pPr>
    <w:rPr/>
  </w:style>
  <w:style w:type="paragraph" w:styleId="Style61">
    <w:name w:val="Style6"/>
    <w:basedOn w:val="Normal"/>
    <w:qFormat/>
    <w:pPr>
      <w:widowControl w:val="false"/>
      <w:autoSpaceDE w:val="false"/>
      <w:spacing w:lineRule="exact" w:line="276"/>
    </w:pPr>
    <w:rPr/>
  </w:style>
  <w:style w:type="paragraph" w:styleId="Style71">
    <w:name w:val="Style7"/>
    <w:basedOn w:val="Normal"/>
    <w:qFormat/>
    <w:pPr>
      <w:widowControl w:val="false"/>
      <w:autoSpaceDE w:val="false"/>
      <w:spacing w:lineRule="exact" w:line="275"/>
      <w:jc w:val="both"/>
    </w:pPr>
    <w:rPr/>
  </w:style>
  <w:style w:type="paragraph" w:styleId="Style81">
    <w:name w:val="Style8"/>
    <w:basedOn w:val="Normal"/>
    <w:qFormat/>
    <w:pPr>
      <w:widowControl w:val="false"/>
      <w:autoSpaceDE w:val="false"/>
      <w:spacing w:lineRule="exact" w:line="274"/>
    </w:pPr>
    <w:rPr/>
  </w:style>
  <w:style w:type="paragraph" w:styleId="msolistparagraph">
    <w:name w:val="msolistparagraph"/>
    <w:basedOn w:val="Normal"/>
    <w:qFormat/>
    <w:pPr>
      <w:suppressAutoHyphens w:val="true"/>
      <w:spacing w:lineRule="auto" w:line="276" w:before="0" w:after="200"/>
      <w:ind w:hanging="0" w:start="720" w:end="0"/>
      <w:contextualSpacing/>
    </w:pPr>
    <w:rPr>
      <w:rFonts w:ascii="Calibri" w:hAnsi="Calibri" w:cs="Calibri"/>
      <w:kern w:val="2"/>
      <w:sz w:val="22"/>
      <w:szCs w:val="22"/>
    </w:rPr>
  </w:style>
  <w:style w:type="paragraph" w:styleId="32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Style39">
    <w:name w:val="Обычный (Интернет)"/>
    <w:basedOn w:val="Normal"/>
    <w:qFormat/>
    <w:pPr>
      <w:suppressAutoHyphens w:val="true"/>
      <w:ind w:firstLine="489" w:start="0" w:end="0"/>
      <w:jc w:val="both"/>
    </w:pPr>
    <w:rPr>
      <w:sz w:val="23"/>
      <w:szCs w:val="23"/>
    </w:rPr>
  </w:style>
  <w:style w:type="paragraph" w:styleId="Style40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-">
    <w:name w:val="Контракт-раздел"/>
    <w:basedOn w:val="Normal"/>
    <w:next w:val="-1"/>
    <w:qFormat/>
    <w:pPr>
      <w:keepNext w:val="true"/>
      <w:numPr>
        <w:ilvl w:val="0"/>
        <w:numId w:val="2"/>
      </w:numPr>
      <w:tabs>
        <w:tab w:val="clear" w:pos="708"/>
        <w:tab w:val="left" w:pos="540" w:leader="none"/>
      </w:tabs>
      <w:suppressAutoHyphens w:val="true"/>
      <w:spacing w:before="360" w:after="120"/>
      <w:jc w:val="center"/>
      <w:outlineLvl w:val="1"/>
    </w:pPr>
    <w:rPr>
      <w:b/>
      <w:bCs/>
      <w:caps/>
    </w:rPr>
  </w:style>
  <w:style w:type="paragraph" w:styleId="-1">
    <w:name w:val="Контракт-пункт"/>
    <w:basedOn w:val="Normal"/>
    <w:qFormat/>
    <w:pPr>
      <w:numPr>
        <w:ilvl w:val="0"/>
        <w:numId w:val="2"/>
      </w:numPr>
      <w:jc w:val="both"/>
    </w:pPr>
    <w:rPr/>
  </w:style>
  <w:style w:type="paragraph" w:styleId="-2">
    <w:name w:val="Контракт-подпункт"/>
    <w:basedOn w:val="Normal"/>
    <w:qFormat/>
    <w:pPr>
      <w:numPr>
        <w:ilvl w:val="0"/>
        <w:numId w:val="2"/>
      </w:numPr>
      <w:jc w:val="both"/>
    </w:pPr>
    <w:rPr/>
  </w:style>
  <w:style w:type="paragraph" w:styleId="-3">
    <w:name w:val="Контракт-подподпункт"/>
    <w:basedOn w:val="Normal"/>
    <w:qFormat/>
    <w:pPr>
      <w:numPr>
        <w:ilvl w:val="0"/>
        <w:numId w:val="2"/>
      </w:numPr>
      <w:jc w:val="both"/>
    </w:pPr>
    <w:rPr/>
  </w:style>
  <w:style w:type="paragraph" w:styleId="24">
    <w:name w:val="Основной текст 24"/>
    <w:basedOn w:val="Normal"/>
    <w:qFormat/>
    <w:pPr>
      <w:widowControl w:val="false"/>
      <w:ind w:firstLine="720" w:start="0" w:end="0"/>
      <w:jc w:val="both"/>
    </w:pPr>
    <w:rPr>
      <w:szCs w:val="20"/>
    </w:rPr>
  </w:style>
  <w:style w:type="paragraph" w:styleId="22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color w:val="000000"/>
      <w:szCs w:val="20"/>
    </w:rPr>
  </w:style>
  <w:style w:type="paragraph" w:styleId="23">
    <w:name w:val="Основной текст 2"/>
    <w:basedOn w:val="Normal"/>
    <w:qFormat/>
    <w:pPr>
      <w:spacing w:lineRule="auto" w:line="480" w:before="0" w:after="120"/>
    </w:pPr>
    <w:rPr>
      <w:color w:val="000000"/>
      <w:szCs w:val="20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Times New Roman" w:cs="Calibri"/>
      <w:color w:val="000000"/>
      <w:sz w:val="24"/>
      <w:szCs w:val="24"/>
      <w:lang w:bidi="ar-SA" w:val="ru-RU" w:eastAsia="zh-CN"/>
    </w:rPr>
  </w:style>
  <w:style w:type="paragraph" w:styleId="Style42">
    <w:name w:val="Схема документа"/>
    <w:basedOn w:val="Normal"/>
    <w:qFormat/>
    <w:pPr>
      <w:numPr>
        <w:ilvl w:val="0"/>
        <w:numId w:val="3"/>
      </w:numPr>
      <w:shd w:fill="000080" w:val="clear"/>
      <w:spacing w:before="0" w:after="60"/>
      <w:jc w:val="both"/>
    </w:pPr>
    <w:rPr>
      <w:rFonts w:ascii="Tahoma" w:hAnsi="Tahoma" w:cs="Tahoma"/>
      <w:sz w:val="20"/>
      <w:szCs w:val="20"/>
    </w:rPr>
  </w:style>
  <w:style w:type="paragraph" w:styleId="HTML1">
    <w:name w:val="Адрес HTML"/>
    <w:basedOn w:val="Normal"/>
    <w:qFormat/>
    <w:pPr/>
    <w:rPr>
      <w:i/>
      <w:iCs/>
    </w:rPr>
  </w:style>
  <w:style w:type="paragraph" w:styleId="Style43">
    <w:name w:val="Обычный + по ширине"/>
    <w:basedOn w:val="Normal"/>
    <w:qFormat/>
    <w:pPr>
      <w:jc w:val="both"/>
    </w:pPr>
    <w:rPr/>
  </w:style>
  <w:style w:type="paragraph" w:styleId="13pt">
    <w:name w:val="Основной текст + 13 pt"/>
    <w:basedOn w:val="BodyText"/>
    <w:qFormat/>
    <w:pPr>
      <w:widowControl w:val="false"/>
      <w:shd w:fill="FFFFFF" w:val="clear"/>
      <w:snapToGrid w:val="false"/>
      <w:spacing w:lineRule="auto" w:line="240" w:before="0" w:after="0"/>
      <w:ind w:hanging="0" w:start="0" w:end="312"/>
      <w:jc w:val="center"/>
    </w:pPr>
    <w:rPr>
      <w:rFonts w:ascii="Times New Roman" w:hAnsi="Times New Roman" w:cs="Times New Roman"/>
      <w:b/>
      <w:sz w:val="26"/>
      <w:szCs w:val="26"/>
    </w:rPr>
  </w:style>
  <w:style w:type="paragraph" w:styleId="1">
    <w:name w:val="Абзац списка1"/>
    <w:basedOn w:val="Normal"/>
    <w:qFormat/>
    <w:pPr>
      <w:suppressAutoHyphens w:val="true"/>
      <w:spacing w:lineRule="atLeast" w:line="100"/>
    </w:pPr>
    <w:rPr>
      <w:kern w:val="2"/>
    </w:rPr>
  </w:style>
  <w:style w:type="paragraph" w:styleId="ConsNonformat">
    <w:name w:val="ConsNonformat"/>
    <w:qFormat/>
    <w:pPr>
      <w:widowControl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WW-">
    <w:name w:val="WW-Базовый"/>
    <w:qFormat/>
    <w:pPr>
      <w:widowControl/>
      <w:tabs>
        <w:tab w:val="clear" w:pos="708"/>
        <w:tab w:val="left" w:pos="709" w:leader="none"/>
      </w:tabs>
      <w:suppressAutoHyphens w:val="true"/>
      <w:bidi w:val="0"/>
      <w:spacing w:lineRule="atLeast" w:line="100" w:before="0" w:after="6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Style44">
    <w:name w:val="Обычный отступ"/>
    <w:basedOn w:val="Normal"/>
    <w:qFormat/>
    <w:pPr>
      <w:spacing w:lineRule="auto" w:line="360"/>
      <w:ind w:firstLine="567" w:start="0" w:end="0"/>
      <w:jc w:val="both"/>
    </w:pPr>
    <w:rPr>
      <w:sz w:val="28"/>
      <w:szCs w:val="28"/>
    </w:rPr>
  </w:style>
  <w:style w:type="paragraph" w:styleId="s1">
    <w:name w:val="s_1"/>
    <w:basedOn w:val="Normal"/>
    <w:qFormat/>
    <w:pPr>
      <w:spacing w:before="280" w:after="280"/>
    </w:pPr>
    <w:rPr/>
  </w:style>
  <w:style w:type="paragraph" w:styleId="ConsNormal">
    <w:name w:val="ConsNormal"/>
    <w:qFormat/>
    <w:pPr>
      <w:widowControl/>
      <w:autoSpaceDE w:val="false"/>
      <w:bidi w:val="0"/>
      <w:jc w:val="both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Style45">
    <w:name w:val="Заголовок таблицы"/>
    <w:basedOn w:val="Style36"/>
    <w:qFormat/>
    <w:pPr>
      <w:suppressLineNumbers/>
      <w:jc w:val="center"/>
    </w:pPr>
    <w:rPr>
      <w:b/>
      <w:bCs/>
    </w:rPr>
  </w:style>
  <w:style w:type="paragraph" w:styleId="Style46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2024-12-01T10:48:00Z</dcterms:created>
  <dc:creator>1</dc:creator>
  <dc:description/>
  <cp:keywords/>
  <dc:language>ru-RU</dc:language>
  <cp:lastModifiedBy>Карпов Иван Евгеньевич</cp:lastModifiedBy>
  <cp:lastPrinted>2018-05-22T16:16:00Z</cp:lastPrinted>
  <dcterms:modified xsi:type="dcterms:W3CDTF">2026-04-06T17:43:00Z</dcterms:modified>
  <cp:revision>12</cp:revision>
  <dc:subject/>
  <dc:title>Форма подготовлена с использованием правовых актов по состоянию на 17</dc:title>
</cp:coreProperties>
</file>