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2"/>
        </w:rPr>
        <w:t>ТЕХНИЧЕСКАЯ СПЕЦИФИКАЦИЯ</w:t>
      </w:r>
    </w:p>
    <w:p>
      <w:pPr>
        <w:spacing w:after="40"/>
        <w:jc w:val="center"/>
      </w:pPr>
      <w:r>
        <w:rPr>
          <w:b/>
          <w:sz w:val="28"/>
        </w:rPr>
        <w:t>Услуги по разработке и вводу в эксплуатацию информационной системы обработки обращений (службы поддержки)</w:t>
      </w:r>
    </w:p>
    <w:p>
      <w:pPr>
        <w:spacing w:after="40"/>
        <w:jc w:val="center"/>
      </w:pPr>
      <w:r>
        <w:rPr>
          <w:b/>
          <w:sz w:val="24"/>
        </w:rPr>
        <w:t>Астана 2026</w:t>
      </w:r>
    </w:p>
    <w:p/>
    <w:p>
      <w:pPr>
        <w:pStyle w:val="Heading1"/>
      </w:pPr>
      <w:r>
        <w:t>Общие сведения</w:t>
      </w:r>
    </w:p>
    <w:p>
      <w:pPr>
        <w:jc w:val="both"/>
      </w:pPr>
      <w:r>
        <w:rPr>
          <w:b w:val="0"/>
          <w:i w:val="0"/>
        </w:rPr>
        <w:t>Настоящая Техническая спецификация определяет цели, задачи, функциональные, технические и иные требования, предъявляемые АО «НК «КазМунайГаз» к Поставщику и разрабатываемой информационной системе обработки обращений (службе поддержки).</w:t>
      </w:r>
    </w:p>
    <w:p>
      <w:pPr>
        <w:jc w:val="both"/>
      </w:pPr>
      <w:r>
        <w:rPr>
          <w:b w:val="0"/>
          <w:i w:val="0"/>
        </w:rPr>
        <w:t>Целью Услуги является разработка, настройка и ввод в эксплуатацию информационной системы, обеспечивающей регистрацию и обработку обращений пользователей по очередям, взаимодействие заявителей с операторами, ведение переписки и вложений, администрирование учетных записей с разграничением прав по ролям, формирование справочника пользователей и выгрузку данных, а также регистрацию действий пользователей и событий системы управления базами данных в журналах Системы.</w:t>
      </w:r>
    </w:p>
    <w:p>
      <w:pPr>
        <w:jc w:val="both"/>
      </w:pPr>
      <w:r>
        <w:rPr>
          <w:b w:val="0"/>
          <w:i w:val="0"/>
        </w:rPr>
        <w:t>Внедрение Системы направлено на обеспечение единого стандарта обработки обращений и защиты данных Заказчика, соблюдение требований законодательства Республики Казахстан в области защиты персональных данных и информационной безопасности, а также на снижение рисков несанкционированного доступа к данным ограниченного доступа и их неправомерного распространения.</w:t>
      </w:r>
    </w:p>
    <w:p>
      <w:pPr>
        <w:pStyle w:val="Heading1"/>
      </w:pPr>
      <w:r>
        <w:t>1. Используемые термины, определения и сокращения</w:t>
      </w:r>
    </w:p>
    <w:p>
      <w:pPr>
        <w:jc w:val="both"/>
      </w:pPr>
      <w:r>
        <w:rPr>
          <w:b/>
        </w:rPr>
        <w:t>1.1. Заказчик</w:t>
      </w:r>
      <w:r>
        <w:rPr>
          <w:b w:val="0"/>
          <w:i w:val="0"/>
        </w:rPr>
        <w:t xml:space="preserve"> - АО «НК «КазМунайГаз».</w:t>
      </w:r>
    </w:p>
    <w:p>
      <w:pPr>
        <w:jc w:val="both"/>
      </w:pPr>
      <w:r>
        <w:rPr>
          <w:b/>
        </w:rPr>
        <w:t>1.2. Поставщик</w:t>
      </w:r>
      <w:r>
        <w:rPr>
          <w:b w:val="0"/>
          <w:i w:val="0"/>
        </w:rPr>
        <w:t xml:space="preserve"> - ТОО «KMG Digital», организация, определенная Заказчиком в установленном порядке для оказания Услуги.</w:t>
      </w:r>
    </w:p>
    <w:p>
      <w:pPr>
        <w:jc w:val="both"/>
      </w:pPr>
      <w:r>
        <w:rPr>
          <w:b/>
        </w:rPr>
        <w:t>1.3. Услуга</w:t>
      </w:r>
      <w:r>
        <w:rPr>
          <w:b w:val="0"/>
          <w:i w:val="0"/>
        </w:rPr>
        <w:t xml:space="preserve"> - комплекс услуг по разработке, настройке, вводу в эксплуатацию и сопровождению информационной системы в соответствии с настоящей Технической спецификацией.</w:t>
      </w:r>
    </w:p>
    <w:p>
      <w:pPr>
        <w:jc w:val="both"/>
      </w:pPr>
      <w:r>
        <w:rPr>
          <w:b/>
        </w:rPr>
        <w:t>1.4. Договор</w:t>
      </w:r>
      <w:r>
        <w:rPr>
          <w:b w:val="0"/>
          <w:i w:val="0"/>
        </w:rPr>
        <w:t xml:space="preserve"> - договор о закупке услуг по разработке и вводу в эксплуатацию информационной системы, заключенный между Заказчиком и Поставщиком.</w:t>
      </w:r>
    </w:p>
    <w:p>
      <w:pPr>
        <w:jc w:val="both"/>
      </w:pPr>
      <w:r>
        <w:rPr>
          <w:b/>
        </w:rPr>
        <w:t>1.5. Стороны</w:t>
      </w:r>
      <w:r>
        <w:rPr>
          <w:b w:val="0"/>
          <w:i w:val="0"/>
        </w:rPr>
        <w:t xml:space="preserve"> - Заказчик и Поставщик при совместном упоминании.</w:t>
      </w:r>
    </w:p>
    <w:p>
      <w:pPr>
        <w:jc w:val="both"/>
      </w:pPr>
      <w:r>
        <w:rPr>
          <w:b/>
        </w:rPr>
        <w:t>1.6. Система (Информационная система)</w:t>
      </w:r>
      <w:r>
        <w:rPr>
          <w:b w:val="0"/>
          <w:i w:val="0"/>
        </w:rPr>
        <w:t xml:space="preserve"> - программное обеспечение, предназначенное для регистрации, обработки и хранения обращений пользователей Заказчика, взаимодействия заявителей и операторов, разграничения прав доступа на основании ролевой модели, формирования справочника пользователей и выгрузки данных, а также регистрации действий пользователей.</w:t>
      </w:r>
    </w:p>
    <w:p>
      <w:pPr>
        <w:jc w:val="both"/>
      </w:pPr>
      <w:r>
        <w:rPr>
          <w:b/>
        </w:rPr>
        <w:t>1.7. Пользователь</w:t>
      </w:r>
      <w:r>
        <w:rPr>
          <w:b w:val="0"/>
          <w:i w:val="0"/>
        </w:rPr>
        <w:t xml:space="preserve"> - работник Заказчика либо иное лицо, которому в установленном порядке предоставлена учетная запись Системы с одной бизнес-ролью.</w:t>
      </w:r>
    </w:p>
    <w:p>
      <w:pPr>
        <w:jc w:val="both"/>
      </w:pPr>
      <w:r>
        <w:rPr>
          <w:b/>
        </w:rPr>
        <w:t>1.8. Заявитель</w:t>
      </w:r>
      <w:r>
        <w:rPr>
          <w:b w:val="0"/>
          <w:i w:val="0"/>
        </w:rPr>
        <w:t xml:space="preserve"> - пользователь с ролью «заявитель», регистрирующий обращения в очередях, открытых для подачи, и работающий только с собственными обращениями.</w:t>
      </w:r>
    </w:p>
    <w:p>
      <w:pPr>
        <w:jc w:val="both"/>
      </w:pPr>
      <w:r>
        <w:rPr>
          <w:b/>
        </w:rPr>
        <w:t>1.9. Оператор</w:t>
      </w:r>
      <w:r>
        <w:rPr>
          <w:b w:val="0"/>
          <w:i w:val="0"/>
        </w:rPr>
        <w:t xml:space="preserve"> - пользователь с ролью «оператор», обрабатывающий обращения в очередях, явно назначенных ему администратором системы.</w:t>
      </w:r>
    </w:p>
    <w:p>
      <w:pPr>
        <w:jc w:val="both"/>
      </w:pPr>
      <w:r>
        <w:rPr>
          <w:b/>
        </w:rPr>
        <w:t>1.10. Администратор системы</w:t>
      </w:r>
      <w:r>
        <w:rPr>
          <w:b w:val="0"/>
          <w:i w:val="0"/>
        </w:rPr>
        <w:t xml:space="preserve"> - пользователь с ролью «администратор», имеющий доступ к административному интерфейсу Системы для управления учетными записями, ролями, назначениями очередей, настройками Системы и выгрузкой справочника пользователей.</w:t>
      </w:r>
    </w:p>
    <w:p>
      <w:pPr>
        <w:jc w:val="both"/>
      </w:pPr>
      <w:r>
        <w:rPr>
          <w:b/>
        </w:rPr>
        <w:t>1.11. Роль</w:t>
      </w:r>
      <w:r>
        <w:rPr>
          <w:b w:val="0"/>
          <w:i w:val="0"/>
        </w:rPr>
        <w:t xml:space="preserve"> - бизнес-роль учетной записи (заявитель, оператор, администратор), определяющая совокупность прав доступа к функциям и данным Системы. Технические признаки учетной записи, предусмотренные платформой разработки (признак служебного пользователя, признак суперпользователя, членство в группах), ролью не являются.</w:t>
      </w:r>
    </w:p>
    <w:p>
      <w:pPr>
        <w:jc w:val="both"/>
      </w:pPr>
      <w:r>
        <w:rPr>
          <w:b/>
        </w:rPr>
        <w:t>1.12. Административный интерфейс</w:t>
      </w:r>
      <w:r>
        <w:rPr>
          <w:b w:val="0"/>
          <w:i w:val="0"/>
        </w:rPr>
        <w:t xml:space="preserve"> - совокупность разделов и функций Системы (управление пользователями, ролями и назначениями очередей, сброс паролей, переименование очередей, выгрузка справочника пользователей), доступ к которым предоставляется исключительно учетным записям с ролью «администратор».</w:t>
      </w:r>
    </w:p>
    <w:p>
      <w:pPr>
        <w:jc w:val="both"/>
      </w:pPr>
      <w:r>
        <w:rPr>
          <w:b/>
        </w:rPr>
        <w:t>1.13. Личный кабинет</w:t>
      </w:r>
      <w:r>
        <w:rPr>
          <w:b w:val="0"/>
          <w:i w:val="0"/>
        </w:rPr>
        <w:t xml:space="preserve"> - персонализированный раздел Системы, доступный пользователю после успешной аутентификации и содержащий доступные ему обращения и инструменты работы с ними.</w:t>
      </w:r>
    </w:p>
    <w:p>
      <w:pPr>
        <w:jc w:val="both"/>
      </w:pPr>
      <w:r>
        <w:rPr>
          <w:b/>
        </w:rPr>
        <w:t>1.14. Обращение</w:t>
      </w:r>
      <w:r>
        <w:rPr>
          <w:b w:val="0"/>
          <w:i w:val="0"/>
        </w:rPr>
        <w:t xml:space="preserve"> - запись Системы, содержащая идентификатор, тему, описание, очередь, статус, владельца, переписку, вложения и историю обработки.</w:t>
      </w:r>
    </w:p>
    <w:p>
      <w:pPr>
        <w:jc w:val="both"/>
      </w:pPr>
      <w:r>
        <w:rPr>
          <w:b/>
        </w:rPr>
        <w:t>1.15. Очередь</w:t>
      </w:r>
      <w:r>
        <w:rPr>
          <w:b w:val="0"/>
          <w:i w:val="0"/>
        </w:rPr>
        <w:t xml:space="preserve"> - область обработки обращений. Право оператора на очередь выдается администратором системы явно и определяет доступ оператора к обращениям этой очереди.</w:t>
      </w:r>
    </w:p>
    <w:p>
      <w:pPr>
        <w:jc w:val="both"/>
      </w:pPr>
      <w:r>
        <w:rPr>
          <w:b/>
        </w:rPr>
        <w:t>1.16. Комментарий</w:t>
      </w:r>
      <w:r>
        <w:rPr>
          <w:b w:val="0"/>
          <w:i w:val="0"/>
        </w:rPr>
        <w:t xml:space="preserve"> - запись переписки по обращению. Общедоступный комментарий доступен владельцу обращения и уполномоченным сотрудникам; внутренний комментарий доступен только операторам назначенной очереди и администратору системы.</w:t>
      </w:r>
    </w:p>
    <w:p>
      <w:pPr>
        <w:jc w:val="both"/>
      </w:pPr>
      <w:r>
        <w:rPr>
          <w:b/>
        </w:rPr>
        <w:t>1.17. Сессия</w:t>
      </w:r>
      <w:r>
        <w:rPr>
          <w:b w:val="0"/>
          <w:i w:val="0"/>
        </w:rPr>
        <w:t xml:space="preserve"> - ограниченный во времени сеанс работы пользователя с Системой, устанавливаемый после успешной аутентификации и подтверждаемый идентификатором сессии либо токеном доступа.</w:t>
      </w:r>
    </w:p>
    <w:p>
      <w:pPr>
        <w:jc w:val="both"/>
      </w:pPr>
      <w:r>
        <w:rPr>
          <w:b/>
        </w:rPr>
        <w:t>1.18. Токен доступа</w:t>
      </w:r>
      <w:r>
        <w:rPr>
          <w:b w:val="0"/>
          <w:i w:val="0"/>
        </w:rPr>
        <w:t xml:space="preserve"> - выдаваемый Системой носитель полномочий с ограниченным сроком действия для обращений к программному интерфейсу Системы.</w:t>
      </w:r>
    </w:p>
    <w:p>
      <w:pPr>
        <w:jc w:val="both"/>
      </w:pPr>
      <w:r>
        <w:rPr>
          <w:b/>
        </w:rPr>
        <w:t>1.19. Персональные данные</w:t>
      </w:r>
      <w:r>
        <w:rPr>
          <w:b w:val="0"/>
          <w:i w:val="0"/>
        </w:rPr>
        <w:t xml:space="preserve"> - сведения, относящиеся к определенному или определяемому на их основании субъекту персональных данных, зафиксированные на электронном носителе, включая фамилию, имя, отчество, логин, адрес электронной почты и аутентификационные данные, а также копии этих сведений в обращениях, комментариях, истории обработки и именах вложений.</w:t>
      </w:r>
    </w:p>
    <w:p>
      <w:pPr>
        <w:jc w:val="both"/>
      </w:pPr>
      <w:r>
        <w:rPr>
          <w:b/>
        </w:rPr>
        <w:t>1.20. Журнал аудита</w:t>
      </w:r>
      <w:r>
        <w:rPr>
          <w:b w:val="0"/>
          <w:i w:val="0"/>
        </w:rPr>
        <w:t xml:space="preserve"> - журнал регистрации действий пользователей, имеющих доступ к данным, содержащий сведения о совершенных операциях, их времени, инициаторе и результате.</w:t>
      </w:r>
    </w:p>
    <w:p>
      <w:pPr>
        <w:jc w:val="both"/>
      </w:pPr>
      <w:r>
        <w:rPr>
          <w:b/>
        </w:rPr>
        <w:t>1.21. Локальный журнал приложения</w:t>
      </w:r>
      <w:r>
        <w:rPr>
          <w:b w:val="0"/>
          <w:i w:val="0"/>
        </w:rPr>
        <w:t xml:space="preserve"> - буфер записей журнала аудита, формируемый серверным приложением до передачи записей в хранилище принятых событий (сборщику событий). Журнал браузера и история обработки обращения локальным журналом не являются.</w:t>
      </w:r>
    </w:p>
    <w:p>
      <w:pPr>
        <w:jc w:val="both"/>
      </w:pPr>
      <w:r>
        <w:rPr>
          <w:b/>
        </w:rPr>
        <w:t>1.22. Сборщик событий</w:t>
      </w:r>
      <w:r>
        <w:rPr>
          <w:b w:val="0"/>
          <w:i w:val="0"/>
        </w:rPr>
        <w:t xml:space="preserve"> - компонент Системы, проверяющий подлинность и целостность записей локального журнала и переносящий их в хранилище принятых событий.</w:t>
      </w:r>
    </w:p>
    <w:p>
      <w:pPr>
        <w:jc w:val="both"/>
      </w:pPr>
      <w:r>
        <w:rPr>
          <w:b/>
        </w:rPr>
        <w:t>1.23. API</w:t>
      </w:r>
      <w:r>
        <w:rPr>
          <w:b w:val="0"/>
          <w:i w:val="0"/>
        </w:rPr>
        <w:t xml:space="preserve"> - программный интерфейс Системы, обеспечивающий взаимодействие Системы с клиентскими приложениями и внешними информационными системами.</w:t>
      </w:r>
    </w:p>
    <w:p>
      <w:pPr>
        <w:jc w:val="both"/>
      </w:pPr>
      <w:r>
        <w:rPr>
          <w:b/>
        </w:rPr>
        <w:t>1.24. СУБД</w:t>
      </w:r>
      <w:r>
        <w:rPr>
          <w:b w:val="0"/>
          <w:i w:val="0"/>
        </w:rPr>
        <w:t xml:space="preserve"> - система управления базами данных.</w:t>
      </w:r>
    </w:p>
    <w:p>
      <w:pPr>
        <w:jc w:val="both"/>
      </w:pPr>
      <w:r>
        <w:rPr>
          <w:b/>
        </w:rPr>
        <w:t>1.25. СКЗИ</w:t>
      </w:r>
      <w:r>
        <w:rPr>
          <w:b w:val="0"/>
          <w:i w:val="0"/>
        </w:rPr>
        <w:t xml:space="preserve"> - средства криптографической защиты информации.</w:t>
      </w:r>
    </w:p>
    <w:p>
      <w:pPr>
        <w:jc w:val="both"/>
      </w:pPr>
      <w:r>
        <w:rPr>
          <w:b/>
        </w:rPr>
        <w:t>1.26. ИБ</w:t>
      </w:r>
      <w:r>
        <w:rPr>
          <w:b w:val="0"/>
          <w:i w:val="0"/>
        </w:rPr>
        <w:t xml:space="preserve"> - информационная безопасность.</w:t>
      </w:r>
    </w:p>
    <w:p>
      <w:pPr>
        <w:pStyle w:val="Heading1"/>
      </w:pPr>
      <w:r>
        <w:t>2. Задачи</w:t>
      </w:r>
    </w:p>
    <w:p>
      <w:pPr>
        <w:jc w:val="both"/>
      </w:pPr>
      <w:r>
        <w:rPr>
          <w:b w:val="0"/>
          <w:i w:val="0"/>
        </w:rPr>
        <w:t>2.1. Задачами Услуги являются:</w:t>
      </w:r>
    </w:p>
    <w:p>
      <w:pPr>
        <w:jc w:val="both"/>
      </w:pPr>
      <w:r>
        <w:rPr>
          <w:b w:val="0"/>
          <w:i w:val="0"/>
        </w:rPr>
        <w:t>2.1.1. Разработка и ввод в эксплуатацию Системы в объеме функциональных и технических требований, установленных настоящей Технической спецификацией.</w:t>
      </w:r>
    </w:p>
    <w:p>
      <w:pPr>
        <w:jc w:val="both"/>
      </w:pPr>
      <w:r>
        <w:rPr>
          <w:b w:val="0"/>
          <w:i w:val="0"/>
        </w:rPr>
        <w:t>2.1.2. Обеспечение регистрации, поиска и обработки обращений по очередям с ведением переписки, вложений, статусов и истории обработки.</w:t>
      </w:r>
    </w:p>
    <w:p>
      <w:pPr>
        <w:jc w:val="both"/>
      </w:pPr>
      <w:r>
        <w:rPr>
          <w:b w:val="0"/>
          <w:i w:val="0"/>
        </w:rPr>
        <w:t>2.1.3. Обеспечение разграничения прав доступа пользователей к функциям и данным Системы на основании ролевой модели с контролем прав доступа на стороне сервера.</w:t>
      </w:r>
    </w:p>
    <w:p>
      <w:pPr>
        <w:jc w:val="both"/>
      </w:pPr>
      <w:r>
        <w:rPr>
          <w:b w:val="0"/>
          <w:i w:val="0"/>
        </w:rPr>
        <w:t>2.1.4. Обеспечение защиты персональных данных, обрабатываемых и хранимых Системой, в соответствии с требованиями законодательства Республики Казахстан и внутренних нормативных документов Заказчика.</w:t>
      </w:r>
    </w:p>
    <w:p>
      <w:pPr>
        <w:jc w:val="both"/>
      </w:pPr>
      <w:r>
        <w:rPr>
          <w:b w:val="0"/>
          <w:i w:val="0"/>
        </w:rPr>
        <w:t>2.1.5. Обеспечение регистрации действий пользователей, имеющих доступ к данным, и событий СУБД, охватывающей Систему в целом.</w:t>
      </w:r>
    </w:p>
    <w:p>
      <w:pPr>
        <w:jc w:val="both"/>
      </w:pPr>
      <w:r>
        <w:rPr>
          <w:b w:val="0"/>
          <w:i w:val="0"/>
        </w:rPr>
        <w:t>2.1.6. Обеспечение формирования справочника пользователей и выгрузки данных с ограничением доступа к выгрузкам, содержащим персональные данные.</w:t>
      </w:r>
    </w:p>
    <w:p>
      <w:pPr>
        <w:jc w:val="both"/>
      </w:pPr>
      <w:r>
        <w:rPr>
          <w:b w:val="0"/>
          <w:i w:val="0"/>
        </w:rPr>
        <w:t>2.1.7. Обеспечение защиты канала передачи данных между клиентской и серверной частями Системы.</w:t>
      </w:r>
    </w:p>
    <w:p>
      <w:pPr>
        <w:pStyle w:val="Heading1"/>
      </w:pPr>
      <w:r>
        <w:t>3. Требования к услуге</w:t>
      </w:r>
    </w:p>
    <w:p>
      <w:pPr>
        <w:pStyle w:val="Heading2"/>
      </w:pPr>
      <w:r>
        <w:t>3.1. Национальные и корпоративные стандарты</w:t>
      </w:r>
    </w:p>
    <w:p>
      <w:pPr>
        <w:jc w:val="both"/>
      </w:pPr>
      <w:r>
        <w:rPr>
          <w:b w:val="0"/>
          <w:i w:val="0"/>
        </w:rPr>
        <w:t>3.1.1. При оказании Услуги Поставщик должен учитывать требования применимых нормативных правовых документов и национальных стандартов Республики Казахстан в части, относящейся к предмету Услуги, Системе, а также обеспечению ее информационной безопасности.</w:t>
      </w:r>
    </w:p>
    <w:p>
      <w:pPr>
        <w:jc w:val="both"/>
      </w:pPr>
      <w:r>
        <w:rPr>
          <w:b w:val="0"/>
          <w:i w:val="0"/>
        </w:rPr>
        <w:t>3.1.2. СТ РК 34.014-2002 - «Информационная технология. Комплекс стандартов на автоматизированные системы. Автоматизированные системы. Термины и определения».</w:t>
      </w:r>
    </w:p>
    <w:p>
      <w:pPr>
        <w:jc w:val="both"/>
      </w:pPr>
      <w:r>
        <w:rPr>
          <w:b w:val="0"/>
          <w:i w:val="0"/>
        </w:rPr>
        <w:t>3.1.3. СТ РК ISO/IEC/IEEE 12207-2019 - «Системная и программная инженерия. Процессы жизненного цикла программных средств».</w:t>
      </w:r>
    </w:p>
    <w:p>
      <w:pPr>
        <w:jc w:val="both"/>
      </w:pPr>
      <w:r>
        <w:rPr>
          <w:b w:val="0"/>
          <w:i w:val="0"/>
        </w:rPr>
        <w:t>3.1.4. СТ РК ISO/IEC 27001-2023 - «Информационная безопасность, кибербезопасность и защита конфиденциальности. Системы менеджмента информационной безопасности. Требования».</w:t>
      </w:r>
    </w:p>
    <w:p>
      <w:pPr>
        <w:jc w:val="both"/>
      </w:pPr>
      <w:r>
        <w:rPr>
          <w:b w:val="0"/>
          <w:i w:val="0"/>
        </w:rPr>
        <w:t>3.1.5. СТ РК ISO/IEC 27002-2023 - «Информационная безопасность, кибербезопасность и защита конфиденциальности. Средства управления информационной безопасностью».</w:t>
      </w:r>
    </w:p>
    <w:p>
      <w:pPr>
        <w:jc w:val="both"/>
      </w:pPr>
      <w:r>
        <w:rPr>
          <w:b w:val="0"/>
          <w:i w:val="0"/>
        </w:rPr>
        <w:t>3.1.6. СТ РК 1073-2007 - «Средства криптографической защиты информации. Общие технические требования».</w:t>
      </w:r>
    </w:p>
    <w:p>
      <w:pPr>
        <w:jc w:val="both"/>
      </w:pPr>
      <w:r>
        <w:rPr>
          <w:b w:val="0"/>
          <w:i w:val="0"/>
        </w:rPr>
        <w:t>3.1.7. В случае изменения, замены или отмены указанных стандартов применяются их действующие редакции и документы, заменяющие соответствующие стандарты, в части, применимой к предмету Услуги.</w:t>
      </w:r>
    </w:p>
    <w:p>
      <w:pPr>
        <w:pStyle w:val="Heading1"/>
      </w:pPr>
      <w:r>
        <w:t>4. Требования к Системе</w:t>
      </w:r>
    </w:p>
    <w:p>
      <w:pPr>
        <w:pStyle w:val="Heading2"/>
      </w:pPr>
      <w:r>
        <w:t>4.1. Общие требования</w:t>
      </w:r>
    </w:p>
    <w:p>
      <w:pPr>
        <w:jc w:val="both"/>
      </w:pPr>
      <w:r>
        <w:rPr>
          <w:b w:val="0"/>
          <w:i w:val="0"/>
        </w:rPr>
        <w:t>4.1.1. Разрабатываемая Система должна представлять собой программное обеспечение клиент-серверной архитектуры, обеспечивающее регистрацию и обработку обращений, хранение и предоставление данных пользователям Заказчика с разграничением прав доступа, формирование справочника пользователей и регистрацию действий пользователей.</w:t>
      </w:r>
    </w:p>
    <w:p>
      <w:pPr>
        <w:jc w:val="both"/>
      </w:pPr>
      <w:r>
        <w:rPr>
          <w:b w:val="0"/>
          <w:i w:val="0"/>
        </w:rPr>
        <w:t>4.1.2. Доступ к Системе должен обеспечиваться посредством веб-интерфейса, а также посредством API. Отдельное клиентское приложение для рабочих станций в состав Системы не входит.</w:t>
      </w:r>
    </w:p>
    <w:p>
      <w:pPr>
        <w:jc w:val="both"/>
      </w:pPr>
      <w:r>
        <w:rPr>
          <w:b w:val="0"/>
          <w:i w:val="0"/>
        </w:rPr>
        <w:t>4.1.3. Серверная часть Системы должна выполняться на одном сервере под управлением Windows x64 с использованием Python 3.14 и платформы Django, СУБД SQLite и файлового хранилища вложений. Все компоненты Системы принимают соединения только на локальном адресе сервера; внешний доступ к Системе предоставляется исключительно через защищенную точку доступа (пункт 4.8).</w:t>
      </w:r>
    </w:p>
    <w:p>
      <w:pPr>
        <w:jc w:val="both"/>
      </w:pPr>
      <w:r>
        <w:rPr>
          <w:b w:val="0"/>
          <w:i w:val="0"/>
        </w:rPr>
        <w:t>4.1.4. Реализация функций защиты, установленных настоящей Технической спецификацией, должна обеспечиваться общими компонентами Системы, применяемыми ко всем ее функциональным модулям, а не реализовываться в отдельных функциях.</w:t>
      </w:r>
    </w:p>
    <w:p>
      <w:pPr>
        <w:jc w:val="both"/>
      </w:pPr>
      <w:r>
        <w:rPr>
          <w:b w:val="0"/>
          <w:i w:val="0"/>
        </w:rPr>
        <w:t>4.1.5. Наличие в составе поставки библиотечных модулей, шаблонов и зависимостей, функции которых не подключены к Системе, не расширяет ее заявленный функциональный состав. В обязательный функциональный состав не входят: публичная подача обращений без входа, доступ к обращениям по секретной ссылке, база знаний, прием и отправка электронной почты, внешние веб-хуки и облачные сервисы.</w:t>
      </w:r>
    </w:p>
    <w:p>
      <w:pPr>
        <w:jc w:val="both"/>
      </w:pPr>
      <w:r>
        <w:rPr>
          <w:b w:val="0"/>
          <w:i w:val="0"/>
        </w:rPr>
        <w:t>4.1.6. Система должна поставляться и испытываться исключительно на синтетических данных. Тестовые и демонстрационные данные не должны содержать действительных персональных данных работников Заказчика.</w:t>
      </w:r>
    </w:p>
    <w:p>
      <w:pPr>
        <w:pStyle w:val="Heading2"/>
      </w:pPr>
      <w:r>
        <w:t>4.2. Основные компоненты Системы</w:t>
      </w:r>
    </w:p>
    <w:p>
      <w:pPr>
        <w:jc w:val="both"/>
      </w:pPr>
      <w:r>
        <w:rPr>
          <w:b w:val="0"/>
          <w:i w:val="0"/>
        </w:rPr>
        <w:t>4.2.1. База данных - компонент Системы, предназначенный для хранения сведений о пользователях, учетных записях, ролях и назначениях очередей, обращениях, комментариях, вложениях, сессиях, очереди событий аудита и иных данных, необходимых для функционирования Системы.</w:t>
      </w:r>
    </w:p>
    <w:p>
      <w:pPr>
        <w:jc w:val="both"/>
      </w:pPr>
      <w:r>
        <w:rPr>
          <w:b w:val="0"/>
          <w:i w:val="0"/>
        </w:rPr>
        <w:t>4.2.2. Серверная часть - компонент Системы, реализующий прикладную логику, обработку запросов, контроль прав доступа и взаимодействие с базой данных.</w:t>
      </w:r>
    </w:p>
    <w:p>
      <w:pPr>
        <w:jc w:val="both"/>
      </w:pPr>
      <w:r>
        <w:rPr>
          <w:b w:val="0"/>
          <w:i w:val="0"/>
        </w:rPr>
        <w:t>4.2.3. Интерфейс пользователей - интерфейс Системы с разграничением функциональных возможностей в зависимости от роли пользователя, включая личный кабинет заявителя, рабочее место оператора и административный интерфейс.</w:t>
      </w:r>
    </w:p>
    <w:p>
      <w:pPr>
        <w:jc w:val="both"/>
      </w:pPr>
      <w:r>
        <w:rPr>
          <w:b w:val="0"/>
          <w:i w:val="0"/>
        </w:rPr>
        <w:t>4.2.4. Модуль аутентификации и авторизации - компонент, обеспечивающий проверку подлинности учетных записей, установление и контроль сессий и токенов доступа, ограничение попыток входа, а также проверку прав доступа при обращении к защищенным функциям Системы.</w:t>
      </w:r>
    </w:p>
    <w:p>
      <w:pPr>
        <w:jc w:val="both"/>
      </w:pPr>
      <w:r>
        <w:rPr>
          <w:b w:val="0"/>
          <w:i w:val="0"/>
        </w:rPr>
        <w:t>4.2.5. Модуль журналирования - компонент, обеспечивающий регистрацию действий пользователей и событий Системы в едином журнале, ведение локального журнала приложения, работу сборщика событий, а также обеспечение сохранности и целостности записей журнала.</w:t>
      </w:r>
    </w:p>
    <w:p>
      <w:pPr>
        <w:jc w:val="both"/>
      </w:pPr>
      <w:r>
        <w:rPr>
          <w:b w:val="0"/>
          <w:i w:val="0"/>
        </w:rPr>
        <w:t>4.2.6. Модуль отчетности и экспорта - компонент, обеспечивающий формирование справочника пользователей и выгрузку данных в файловые форматы с контролем прав доступа к выгружаемым данным.</w:t>
      </w:r>
    </w:p>
    <w:p>
      <w:pPr>
        <w:jc w:val="both"/>
      </w:pPr>
      <w:r>
        <w:rPr>
          <w:b w:val="0"/>
          <w:i w:val="0"/>
        </w:rPr>
        <w:t>4.2.7. Транспортный модуль - компонент, обеспечивающий прием защищенных соединений, перенаправление незащищенных обращений и передачу запросов серверной части.</w:t>
      </w:r>
    </w:p>
    <w:p>
      <w:pPr>
        <w:jc w:val="both"/>
      </w:pPr>
      <w:r>
        <w:rPr>
          <w:b w:val="0"/>
          <w:i w:val="0"/>
        </w:rPr>
        <w:t>4.2.8. Средства первоначальной настройки - компонент, обеспечивающий создание криптографических ключей и сертификата, инициализацию базы данных, установку прав доступа к файлам рабочего экземпляра и создание синтетических данных.</w:t>
      </w:r>
    </w:p>
    <w:p>
      <w:pPr>
        <w:pStyle w:val="Heading2"/>
      </w:pPr>
      <w:r>
        <w:t>4.3. Требования к ролевой модели и разграничению доступа</w:t>
      </w:r>
    </w:p>
    <w:p>
      <w:pPr>
        <w:jc w:val="both"/>
      </w:pPr>
      <w:r>
        <w:rPr>
          <w:b w:val="0"/>
          <w:i w:val="0"/>
        </w:rPr>
        <w:t>4.3.1. В Системе должна быть реализована ролевая модель доступа, предусматривающая три роли: «заявитель», «оператор» и «администратор». Если право не предоставлено роли явно, операция запрещена.</w:t>
      </w:r>
    </w:p>
    <w:p>
      <w:pPr>
        <w:jc w:val="both"/>
      </w:pPr>
      <w:r>
        <w:rPr>
          <w:b w:val="0"/>
          <w:i w:val="0"/>
        </w:rPr>
        <w:t>4.3.2. Доступ к административному интерфейсу Системы должен предоставляться исключительно учетным записям с ролью «администратор». Технические признаки учетной записи, предусмотренные платформой разработки, и членство в группах сами по себе не должны предоставлять административных полномочий и расширять область доступа оператора.</w:t>
      </w:r>
    </w:p>
    <w:p>
      <w:pPr>
        <w:jc w:val="both"/>
      </w:pPr>
      <w:r>
        <w:rPr>
          <w:b w:val="0"/>
          <w:i w:val="0"/>
        </w:rPr>
        <w:t>4.3.3. Проверка роли пользователя должна выполняться на стороне сервера при каждом обращении к защищенным функциям Системы, до чтения защищенных данных и до изменения их состояния. Сокрытие элементов административного интерфейса на стороне клиента не является выполнением настоящего требования. Параметры запроса, скрытые поля форм и содержимое неподтвержденных токенов не являются доверенным источником сведений о правах.</w:t>
      </w:r>
    </w:p>
    <w:p>
      <w:pPr>
        <w:jc w:val="both"/>
      </w:pPr>
      <w:r>
        <w:rPr>
          <w:b w:val="0"/>
          <w:i w:val="0"/>
        </w:rPr>
        <w:t>4.3.4. Проверка прав доступа должна быть реализована общим программным компонентом, применяемым ко всем защищенным маршрутам Системы, включая обращения посредством API и пакетные операции.</w:t>
      </w:r>
    </w:p>
    <w:p>
      <w:pPr>
        <w:jc w:val="both"/>
      </w:pPr>
      <w:r>
        <w:rPr>
          <w:b w:val="0"/>
          <w:i w:val="0"/>
        </w:rPr>
        <w:t>4.3.5. Назначение, изменение и отзыв ролей, а также выдача и отзыв прав оператора на очереди осуществляются исключительно администратором системы с обязательной регистрацией соответствующего события в журнале аудита. Право на очередь выдается только учетным записям с ролью «оператор». При изменении роли ранее выданные права на очереди снимаются, а действующие токены доступа пользователя прекращают действие.</w:t>
      </w:r>
    </w:p>
    <w:p>
      <w:pPr>
        <w:jc w:val="both"/>
      </w:pPr>
      <w:r>
        <w:rPr>
          <w:b w:val="0"/>
          <w:i w:val="0"/>
        </w:rPr>
        <w:t>4.3.6. Права доступа предоставляются по принципу минимально необходимых полномочий, требуемых для выполнения пользователем его функциональных обязанностей, в соответствии со следующей матрицей полномочий:</w:t>
      </w:r>
    </w:p>
    <w:tbl>
      <w:tblPr>
        <w:tblStyle w:val="TableGrid"/>
        <w:tblW w:type="auto" w:w="0"/>
        <w:jc w:val="center"/>
        <w:tblLook w:firstColumn="1" w:firstRow="1" w:lastColumn="0" w:lastRow="0" w:noHBand="0" w:noVBand="1" w:val="04A0"/>
      </w:tblPr>
      <w:tblGrid>
        <w:gridCol w:w="2339"/>
        <w:gridCol w:w="2339"/>
        <w:gridCol w:w="2339"/>
        <w:gridCol w:w="2339"/>
      </w:tblGrid>
      <w:tr>
        <w:trPr>
          <w:tblHeader w:val="true"/>
        </w:trPr>
        <w:tc>
          <w:tcPr>
            <w:tcW w:type="dxa" w:w="3515"/>
            <w:shd w:val="clear" w:color="auto" w:fill="E7E6E6"/>
          </w:tcPr>
          <w:p>
            <w:r/>
            <w:r>
              <w:rPr>
                <w:b/>
                <w:sz w:val="20"/>
              </w:rPr>
              <w:t>Операция</w:t>
            </w:r>
          </w:p>
        </w:tc>
        <w:tc>
          <w:tcPr>
            <w:tcW w:type="dxa" w:w="1871"/>
            <w:shd w:val="clear" w:color="auto" w:fill="E7E6E6"/>
          </w:tcPr>
          <w:p>
            <w:r/>
            <w:r>
              <w:rPr>
                <w:b/>
                <w:sz w:val="20"/>
              </w:rPr>
              <w:t>Заявитель</w:t>
            </w:r>
          </w:p>
        </w:tc>
        <w:tc>
          <w:tcPr>
            <w:tcW w:type="dxa" w:w="1928"/>
            <w:shd w:val="clear" w:color="auto" w:fill="E7E6E6"/>
          </w:tcPr>
          <w:p>
            <w:r/>
            <w:r>
              <w:rPr>
                <w:b/>
                <w:sz w:val="20"/>
              </w:rPr>
              <w:t>Оператор</w:t>
            </w:r>
          </w:p>
        </w:tc>
        <w:tc>
          <w:tcPr>
            <w:tcW w:type="dxa" w:w="2041"/>
            <w:shd w:val="clear" w:color="auto" w:fill="E7E6E6"/>
          </w:tcPr>
          <w:p>
            <w:r/>
            <w:r>
              <w:rPr>
                <w:b/>
                <w:sz w:val="20"/>
              </w:rPr>
              <w:t>Администратор</w:t>
            </w:r>
          </w:p>
        </w:tc>
      </w:tr>
      <w:tr>
        <w:tc>
          <w:tcPr>
            <w:tcW w:type="dxa" w:w="3515"/>
          </w:tcPr>
          <w:p>
            <w:pPr>
              <w:spacing w:after="0"/>
            </w:pPr>
            <w:r/>
            <w:r>
              <w:rPr>
                <w:sz w:val="20"/>
              </w:rPr>
              <w:t>Просмотр, поиск и чтение обращений через веб-интерфейс и API</w:t>
            </w:r>
          </w:p>
        </w:tc>
        <w:tc>
          <w:tcPr>
            <w:tcW w:type="dxa" w:w="1871"/>
          </w:tcPr>
          <w:p>
            <w:pPr>
              <w:spacing w:after="0"/>
            </w:pPr>
            <w:r/>
            <w:r>
              <w:rPr>
                <w:sz w:val="20"/>
              </w:rPr>
              <w:t>Собственные обращения</w:t>
            </w:r>
          </w:p>
        </w:tc>
        <w:tc>
          <w:tcPr>
            <w:tcW w:type="dxa" w:w="1928"/>
          </w:tcPr>
          <w:p>
            <w:pPr>
              <w:spacing w:after="0"/>
            </w:pPr>
            <w:r/>
            <w:r>
              <w:rPr>
                <w:sz w:val="20"/>
              </w:rPr>
              <w:t>Назначенные очереди</w:t>
            </w:r>
          </w:p>
        </w:tc>
        <w:tc>
          <w:tcPr>
            <w:tcW w:type="dxa" w:w="2041"/>
          </w:tcPr>
          <w:p>
            <w:pPr>
              <w:spacing w:after="0"/>
            </w:pPr>
            <w:r/>
            <w:r>
              <w:rPr>
                <w:sz w:val="20"/>
              </w:rPr>
              <w:t>Все обращения</w:t>
            </w:r>
          </w:p>
        </w:tc>
      </w:tr>
      <w:tr>
        <w:tc>
          <w:tcPr>
            <w:tcW w:type="dxa" w:w="3515"/>
          </w:tcPr>
          <w:p>
            <w:pPr>
              <w:spacing w:after="0"/>
            </w:pPr>
            <w:r/>
            <w:r>
              <w:rPr>
                <w:sz w:val="20"/>
              </w:rPr>
              <w:t>Создание обращения</w:t>
            </w:r>
          </w:p>
        </w:tc>
        <w:tc>
          <w:tcPr>
            <w:tcW w:type="dxa" w:w="1871"/>
          </w:tcPr>
          <w:p>
            <w:pPr>
              <w:spacing w:after="0"/>
            </w:pPr>
            <w:r/>
            <w:r>
              <w:rPr>
                <w:sz w:val="20"/>
              </w:rPr>
              <w:t>Очереди, открытые для подачи</w:t>
            </w:r>
          </w:p>
        </w:tc>
        <w:tc>
          <w:tcPr>
            <w:tcW w:type="dxa" w:w="1928"/>
          </w:tcPr>
          <w:p>
            <w:pPr>
              <w:spacing w:after="0"/>
            </w:pPr>
            <w:r/>
            <w:r>
              <w:rPr>
                <w:sz w:val="20"/>
              </w:rPr>
              <w:t>Назначенные очереди</w:t>
            </w:r>
          </w:p>
        </w:tc>
        <w:tc>
          <w:tcPr>
            <w:tcW w:type="dxa" w:w="2041"/>
          </w:tcPr>
          <w:p>
            <w:pPr>
              <w:spacing w:after="0"/>
            </w:pPr>
            <w:r/>
            <w:r>
              <w:rPr>
                <w:sz w:val="20"/>
              </w:rPr>
              <w:t>Любая очередь</w:t>
            </w:r>
          </w:p>
        </w:tc>
      </w:tr>
      <w:tr>
        <w:tc>
          <w:tcPr>
            <w:tcW w:type="dxa" w:w="3515"/>
          </w:tcPr>
          <w:p>
            <w:pPr>
              <w:spacing w:after="0"/>
            </w:pPr>
            <w:r/>
            <w:r>
              <w:rPr>
                <w:sz w:val="20"/>
              </w:rPr>
              <w:t>Общедоступный комментарий и вложение</w:t>
            </w:r>
          </w:p>
        </w:tc>
        <w:tc>
          <w:tcPr>
            <w:tcW w:type="dxa" w:w="1871"/>
          </w:tcPr>
          <w:p>
            <w:pPr>
              <w:spacing w:after="0"/>
            </w:pPr>
            <w:r/>
            <w:r>
              <w:rPr>
                <w:sz w:val="20"/>
              </w:rPr>
              <w:t>В своем обращении</w:t>
            </w:r>
          </w:p>
        </w:tc>
        <w:tc>
          <w:tcPr>
            <w:tcW w:type="dxa" w:w="1928"/>
          </w:tcPr>
          <w:p>
            <w:pPr>
              <w:spacing w:after="0"/>
            </w:pPr>
            <w:r/>
            <w:r>
              <w:rPr>
                <w:sz w:val="20"/>
              </w:rPr>
              <w:t>В назначенных очередях</w:t>
            </w:r>
          </w:p>
        </w:tc>
        <w:tc>
          <w:tcPr>
            <w:tcW w:type="dxa" w:w="2041"/>
          </w:tcPr>
          <w:p>
            <w:pPr>
              <w:spacing w:after="0"/>
            </w:pPr>
            <w:r/>
            <w:r>
              <w:rPr>
                <w:sz w:val="20"/>
              </w:rPr>
              <w:t>В любом обращении</w:t>
            </w:r>
          </w:p>
        </w:tc>
      </w:tr>
      <w:tr>
        <w:tc>
          <w:tcPr>
            <w:tcW w:type="dxa" w:w="3515"/>
          </w:tcPr>
          <w:p>
            <w:pPr>
              <w:spacing w:after="0"/>
            </w:pPr>
            <w:r/>
            <w:r>
              <w:rPr>
                <w:sz w:val="20"/>
              </w:rPr>
              <w:t>Чтение и создание внутреннего комментария</w:t>
            </w:r>
          </w:p>
        </w:tc>
        <w:tc>
          <w:tcPr>
            <w:tcW w:type="dxa" w:w="1871"/>
          </w:tcPr>
          <w:p>
            <w:pPr>
              <w:spacing w:after="0"/>
            </w:pPr>
            <w:r/>
            <w:r>
              <w:rPr>
                <w:sz w:val="20"/>
              </w:rPr>
              <w:t>Запрещено</w:t>
            </w:r>
          </w:p>
        </w:tc>
        <w:tc>
          <w:tcPr>
            <w:tcW w:type="dxa" w:w="1928"/>
          </w:tcPr>
          <w:p>
            <w:pPr>
              <w:spacing w:after="0"/>
            </w:pPr>
            <w:r/>
            <w:r>
              <w:rPr>
                <w:sz w:val="20"/>
              </w:rPr>
              <w:t>В назначенных очередях</w:t>
            </w:r>
          </w:p>
        </w:tc>
        <w:tc>
          <w:tcPr>
            <w:tcW w:type="dxa" w:w="2041"/>
          </w:tcPr>
          <w:p>
            <w:pPr>
              <w:spacing w:after="0"/>
            </w:pPr>
            <w:r/>
            <w:r>
              <w:rPr>
                <w:sz w:val="20"/>
              </w:rPr>
              <w:t>В любом обращении</w:t>
            </w:r>
          </w:p>
        </w:tc>
      </w:tr>
      <w:tr>
        <w:tc>
          <w:tcPr>
            <w:tcW w:type="dxa" w:w="3515"/>
          </w:tcPr>
          <w:p>
            <w:pPr>
              <w:spacing w:after="0"/>
            </w:pPr>
            <w:r/>
            <w:r>
              <w:rPr>
                <w:sz w:val="20"/>
              </w:rPr>
              <w:t>Смена статуса обращения, включая пакетную</w:t>
            </w:r>
          </w:p>
        </w:tc>
        <w:tc>
          <w:tcPr>
            <w:tcW w:type="dxa" w:w="1871"/>
          </w:tcPr>
          <w:p>
            <w:pPr>
              <w:spacing w:after="0"/>
            </w:pPr>
            <w:r/>
            <w:r>
              <w:rPr>
                <w:sz w:val="20"/>
              </w:rPr>
              <w:t>Запрещено</w:t>
            </w:r>
          </w:p>
        </w:tc>
        <w:tc>
          <w:tcPr>
            <w:tcW w:type="dxa" w:w="1928"/>
          </w:tcPr>
          <w:p>
            <w:pPr>
              <w:spacing w:after="0"/>
            </w:pPr>
            <w:r/>
            <w:r>
              <w:rPr>
                <w:sz w:val="20"/>
              </w:rPr>
              <w:t>В назначенных очередях</w:t>
            </w:r>
          </w:p>
        </w:tc>
        <w:tc>
          <w:tcPr>
            <w:tcW w:type="dxa" w:w="2041"/>
          </w:tcPr>
          <w:p>
            <w:pPr>
              <w:spacing w:after="0"/>
            </w:pPr>
            <w:r/>
            <w:r>
              <w:rPr>
                <w:sz w:val="20"/>
              </w:rPr>
              <w:t>В любом обращении</w:t>
            </w:r>
          </w:p>
        </w:tc>
      </w:tr>
      <w:tr>
        <w:tc>
          <w:tcPr>
            <w:tcW w:type="dxa" w:w="3515"/>
          </w:tcPr>
          <w:p>
            <w:pPr>
              <w:spacing w:after="0"/>
            </w:pPr>
            <w:r/>
            <w:r>
              <w:rPr>
                <w:sz w:val="20"/>
              </w:rPr>
              <w:t>Удаление обращения или вложения</w:t>
            </w:r>
          </w:p>
        </w:tc>
        <w:tc>
          <w:tcPr>
            <w:tcW w:type="dxa" w:w="1871"/>
          </w:tcPr>
          <w:p>
            <w:pPr>
              <w:spacing w:after="0"/>
            </w:pPr>
            <w:r/>
            <w:r>
              <w:rPr>
                <w:sz w:val="20"/>
              </w:rPr>
              <w:t>Запрещено</w:t>
            </w:r>
          </w:p>
        </w:tc>
        <w:tc>
          <w:tcPr>
            <w:tcW w:type="dxa" w:w="1928"/>
          </w:tcPr>
          <w:p>
            <w:pPr>
              <w:spacing w:after="0"/>
            </w:pPr>
            <w:r/>
            <w:r>
              <w:rPr>
                <w:sz w:val="20"/>
              </w:rPr>
              <w:t>В назначенных очередях</w:t>
            </w:r>
          </w:p>
        </w:tc>
        <w:tc>
          <w:tcPr>
            <w:tcW w:type="dxa" w:w="2041"/>
          </w:tcPr>
          <w:p>
            <w:pPr>
              <w:spacing w:after="0"/>
            </w:pPr>
            <w:r/>
            <w:r>
              <w:rPr>
                <w:sz w:val="20"/>
              </w:rPr>
              <w:t>В любом обращении</w:t>
            </w:r>
          </w:p>
        </w:tc>
      </w:tr>
      <w:tr>
        <w:tc>
          <w:tcPr>
            <w:tcW w:type="dxa" w:w="3515"/>
          </w:tcPr>
          <w:p>
            <w:pPr>
              <w:spacing w:after="0"/>
            </w:pPr>
            <w:r/>
            <w:r>
              <w:rPr>
                <w:sz w:val="20"/>
              </w:rPr>
              <w:t>Смена собственного пароля; получение токена доступа</w:t>
            </w:r>
          </w:p>
        </w:tc>
        <w:tc>
          <w:tcPr>
            <w:tcW w:type="dxa" w:w="1871"/>
          </w:tcPr>
          <w:p>
            <w:pPr>
              <w:spacing w:after="0"/>
            </w:pPr>
            <w:r/>
            <w:r>
              <w:rPr>
                <w:sz w:val="20"/>
              </w:rPr>
              <w:t>Разрешено</w:t>
            </w:r>
          </w:p>
        </w:tc>
        <w:tc>
          <w:tcPr>
            <w:tcW w:type="dxa" w:w="1928"/>
          </w:tcPr>
          <w:p>
            <w:pPr>
              <w:spacing w:after="0"/>
            </w:pPr>
            <w:r/>
            <w:r>
              <w:rPr>
                <w:sz w:val="20"/>
              </w:rPr>
              <w:t>Разрешено</w:t>
            </w:r>
          </w:p>
        </w:tc>
        <w:tc>
          <w:tcPr>
            <w:tcW w:type="dxa" w:w="2041"/>
          </w:tcPr>
          <w:p>
            <w:pPr>
              <w:spacing w:after="0"/>
            </w:pPr>
            <w:r/>
            <w:r>
              <w:rPr>
                <w:sz w:val="20"/>
              </w:rPr>
              <w:t>Разрешено</w:t>
            </w:r>
          </w:p>
        </w:tc>
      </w:tr>
      <w:tr>
        <w:tc>
          <w:tcPr>
            <w:tcW w:type="dxa" w:w="3515"/>
          </w:tcPr>
          <w:p>
            <w:pPr>
              <w:spacing w:after="0"/>
            </w:pPr>
            <w:r/>
            <w:r>
              <w:rPr>
                <w:sz w:val="20"/>
              </w:rPr>
              <w:t>Просмотр списка пользователей, создание пользователя, смена роли, сброс чужого пароля</w:t>
            </w:r>
          </w:p>
        </w:tc>
        <w:tc>
          <w:tcPr>
            <w:tcW w:type="dxa" w:w="1871"/>
          </w:tcPr>
          <w:p>
            <w:pPr>
              <w:spacing w:after="0"/>
            </w:pPr>
            <w:r/>
            <w:r>
              <w:rPr>
                <w:sz w:val="20"/>
              </w:rPr>
              <w:t>Запрещено</w:t>
            </w:r>
          </w:p>
        </w:tc>
        <w:tc>
          <w:tcPr>
            <w:tcW w:type="dxa" w:w="1928"/>
          </w:tcPr>
          <w:p>
            <w:pPr>
              <w:spacing w:after="0"/>
            </w:pPr>
            <w:r/>
            <w:r>
              <w:rPr>
                <w:sz w:val="20"/>
              </w:rPr>
              <w:t>Запрещено</w:t>
            </w:r>
          </w:p>
        </w:tc>
        <w:tc>
          <w:tcPr>
            <w:tcW w:type="dxa" w:w="2041"/>
          </w:tcPr>
          <w:p>
            <w:pPr>
              <w:spacing w:after="0"/>
            </w:pPr>
            <w:r/>
            <w:r>
              <w:rPr>
                <w:sz w:val="20"/>
              </w:rPr>
              <w:t>Разрешено</w:t>
            </w:r>
          </w:p>
        </w:tc>
      </w:tr>
      <w:tr>
        <w:tc>
          <w:tcPr>
            <w:tcW w:type="dxa" w:w="3515"/>
          </w:tcPr>
          <w:p>
            <w:pPr>
              <w:spacing w:after="0"/>
            </w:pPr>
            <w:r/>
            <w:r>
              <w:rPr>
                <w:sz w:val="20"/>
              </w:rPr>
              <w:t>Выдача и отзыв прав на очереди</w:t>
            </w:r>
          </w:p>
        </w:tc>
        <w:tc>
          <w:tcPr>
            <w:tcW w:type="dxa" w:w="1871"/>
          </w:tcPr>
          <w:p>
            <w:pPr>
              <w:spacing w:after="0"/>
            </w:pPr>
            <w:r/>
            <w:r>
              <w:rPr>
                <w:sz w:val="20"/>
              </w:rPr>
              <w:t>Запрещено</w:t>
            </w:r>
          </w:p>
        </w:tc>
        <w:tc>
          <w:tcPr>
            <w:tcW w:type="dxa" w:w="1928"/>
          </w:tcPr>
          <w:p>
            <w:pPr>
              <w:spacing w:after="0"/>
            </w:pPr>
            <w:r/>
            <w:r>
              <w:rPr>
                <w:sz w:val="20"/>
              </w:rPr>
              <w:t>Запрещено</w:t>
            </w:r>
          </w:p>
        </w:tc>
        <w:tc>
          <w:tcPr>
            <w:tcW w:type="dxa" w:w="2041"/>
          </w:tcPr>
          <w:p>
            <w:pPr>
              <w:spacing w:after="0"/>
            </w:pPr>
            <w:r/>
            <w:r>
              <w:rPr>
                <w:sz w:val="20"/>
              </w:rPr>
              <w:t>Разрешено</w:t>
            </w:r>
          </w:p>
        </w:tc>
      </w:tr>
      <w:tr>
        <w:tc>
          <w:tcPr>
            <w:tcW w:type="dxa" w:w="3515"/>
          </w:tcPr>
          <w:p>
            <w:pPr>
              <w:spacing w:after="0"/>
            </w:pPr>
            <w:r/>
            <w:r>
              <w:rPr>
                <w:sz w:val="20"/>
              </w:rPr>
              <w:t>Переименование очереди</w:t>
            </w:r>
          </w:p>
        </w:tc>
        <w:tc>
          <w:tcPr>
            <w:tcW w:type="dxa" w:w="1871"/>
          </w:tcPr>
          <w:p>
            <w:pPr>
              <w:spacing w:after="0"/>
            </w:pPr>
            <w:r/>
            <w:r>
              <w:rPr>
                <w:sz w:val="20"/>
              </w:rPr>
              <w:t>Запрещено</w:t>
            </w:r>
          </w:p>
        </w:tc>
        <w:tc>
          <w:tcPr>
            <w:tcW w:type="dxa" w:w="1928"/>
          </w:tcPr>
          <w:p>
            <w:pPr>
              <w:spacing w:after="0"/>
            </w:pPr>
            <w:r/>
            <w:r>
              <w:rPr>
                <w:sz w:val="20"/>
              </w:rPr>
              <w:t>Запрещено</w:t>
            </w:r>
          </w:p>
        </w:tc>
        <w:tc>
          <w:tcPr>
            <w:tcW w:type="dxa" w:w="2041"/>
          </w:tcPr>
          <w:p>
            <w:pPr>
              <w:spacing w:after="0"/>
            </w:pPr>
            <w:r/>
            <w:r>
              <w:rPr>
                <w:sz w:val="20"/>
              </w:rPr>
              <w:t>Разрешено</w:t>
            </w:r>
          </w:p>
        </w:tc>
      </w:tr>
      <w:tr>
        <w:tc>
          <w:tcPr>
            <w:tcW w:type="dxa" w:w="3515"/>
          </w:tcPr>
          <w:p>
            <w:pPr>
              <w:spacing w:after="0"/>
            </w:pPr>
            <w:r/>
            <w:r>
              <w:rPr>
                <w:sz w:val="20"/>
              </w:rPr>
              <w:t>Выгрузка справочника пользователей</w:t>
            </w:r>
          </w:p>
        </w:tc>
        <w:tc>
          <w:tcPr>
            <w:tcW w:type="dxa" w:w="1871"/>
          </w:tcPr>
          <w:p>
            <w:pPr>
              <w:spacing w:after="0"/>
            </w:pPr>
            <w:r/>
            <w:r>
              <w:rPr>
                <w:sz w:val="20"/>
              </w:rPr>
              <w:t>Запрещено</w:t>
            </w:r>
          </w:p>
        </w:tc>
        <w:tc>
          <w:tcPr>
            <w:tcW w:type="dxa" w:w="1928"/>
          </w:tcPr>
          <w:p>
            <w:pPr>
              <w:spacing w:after="0"/>
            </w:pPr>
            <w:r/>
            <w:r>
              <w:rPr>
                <w:sz w:val="20"/>
              </w:rPr>
              <w:t>Запрещено</w:t>
            </w:r>
          </w:p>
        </w:tc>
        <w:tc>
          <w:tcPr>
            <w:tcW w:type="dxa" w:w="2041"/>
          </w:tcPr>
          <w:p>
            <w:pPr>
              <w:spacing w:after="0"/>
            </w:pPr>
            <w:r/>
            <w:r>
              <w:rPr>
                <w:sz w:val="20"/>
              </w:rPr>
              <w:t>Разрешено</w:t>
            </w:r>
          </w:p>
        </w:tc>
      </w:tr>
      <w:tr>
        <w:tc>
          <w:tcPr>
            <w:tcW w:type="dxa" w:w="3515"/>
          </w:tcPr>
          <w:p>
            <w:pPr>
              <w:spacing w:after="0"/>
            </w:pPr>
            <w:r/>
            <w:r>
              <w:rPr>
                <w:sz w:val="20"/>
              </w:rPr>
              <w:t>Изменение и удаление записей журнала аудита средствами Системы</w:t>
            </w:r>
          </w:p>
        </w:tc>
        <w:tc>
          <w:tcPr>
            <w:tcW w:type="dxa" w:w="1871"/>
          </w:tcPr>
          <w:p>
            <w:pPr>
              <w:spacing w:after="0"/>
            </w:pPr>
            <w:r/>
            <w:r>
              <w:rPr>
                <w:sz w:val="20"/>
              </w:rPr>
              <w:t>Запрещено</w:t>
            </w:r>
          </w:p>
        </w:tc>
        <w:tc>
          <w:tcPr>
            <w:tcW w:type="dxa" w:w="1928"/>
          </w:tcPr>
          <w:p>
            <w:pPr>
              <w:spacing w:after="0"/>
            </w:pPr>
            <w:r/>
            <w:r>
              <w:rPr>
                <w:sz w:val="20"/>
              </w:rPr>
              <w:t>Запрещено</w:t>
            </w:r>
          </w:p>
        </w:tc>
        <w:tc>
          <w:tcPr>
            <w:tcW w:type="dxa" w:w="2041"/>
          </w:tcPr>
          <w:p>
            <w:pPr>
              <w:spacing w:after="0"/>
            </w:pPr>
            <w:r/>
            <w:r>
              <w:rPr>
                <w:sz w:val="20"/>
              </w:rPr>
              <w:t>Запрещено</w:t>
            </w:r>
          </w:p>
        </w:tc>
      </w:tr>
    </w:tbl>
    <w:p>
      <w:pPr>
        <w:spacing w:after="40"/>
      </w:pPr>
    </w:p>
    <w:p>
      <w:pPr>
        <w:jc w:val="both"/>
      </w:pPr>
      <w:r>
        <w:rPr>
          <w:b w:val="0"/>
          <w:i w:val="0"/>
        </w:rPr>
        <w:t>4.3.7. Заявитель получает доступ к обращению только по связи владения с его учетной записью; совпадение адресов электронной почты или фамилии, имени, отчества двух пользователей не дает доступа к чужим обращениям. Оператор получает доступ к обращениям только явно назначенных ему очередей; назначение исполнителем, факт создания обращения или знание его идентификатора не заменяют право на очередь. Внутренние комментарии и их вложения не должны раскрываться заявителю ни в одном представлении, включая прямой запрос вложения по идентификатору.</w:t>
      </w:r>
    </w:p>
    <w:p>
      <w:pPr>
        <w:jc w:val="both"/>
      </w:pPr>
      <w:r>
        <w:rPr>
          <w:b w:val="0"/>
          <w:i w:val="0"/>
        </w:rPr>
        <w:t>4.3.8. Списки, результаты поиска, счетчики и ответы API должны формироваться только из разрешенной пользователю области данных. Пакетная операция должна выполняться только над доступными пользователю объектами. После отзыва права на очередь последующие запросы оператора не должны возвращать ее данные.</w:t>
      </w:r>
    </w:p>
    <w:p>
      <w:pPr>
        <w:jc w:val="both"/>
      </w:pPr>
      <w:r>
        <w:rPr>
          <w:b w:val="0"/>
          <w:i w:val="0"/>
        </w:rPr>
        <w:t>4.3.9. Запрос аутентифицированного пользователя к запрещенной операции должен получать отказ; недоступный объект может обозначаться как отсутствующий без подтверждения его существования. Обращение к защищенной функции без аутентификации должно отклоняться либо перенаправляться на форму входа. Обращение к API без действительного токена должно отклоняться с признаком отсутствия аутентификации.</w:t>
      </w:r>
    </w:p>
    <w:p>
      <w:pPr>
        <w:pStyle w:val="Heading2"/>
      </w:pPr>
      <w:r>
        <w:t>4.4. Требования к аутентификации и управлению сессиями</w:t>
      </w:r>
    </w:p>
    <w:p>
      <w:pPr>
        <w:jc w:val="both"/>
      </w:pPr>
      <w:r>
        <w:rPr>
          <w:b w:val="0"/>
          <w:i w:val="0"/>
        </w:rPr>
        <w:t>4.4.1. Доступ к Системе предоставляется после успешной аутентификации пользователя. Анонимный доступ к данным, обрабатываемым Системой, не допускается; анонимному посетителю доступны только форма входа и необходимые для нее статические ресурсы.</w:t>
      </w:r>
    </w:p>
    <w:p>
      <w:pPr>
        <w:jc w:val="both"/>
      </w:pPr>
      <w:r>
        <w:rPr>
          <w:b w:val="0"/>
          <w:i w:val="0"/>
        </w:rPr>
        <w:t>4.4.2. По результатам успешной аутентификации Системой устанавливается сессия, подтверждаемая идентификатором сессии с ограниченным сроком действия не более 60 минут с момента установления. Идентификатор сессии передается в защищенной cookie, недоступной сценариям браузера и не передаваемой по незащищенному соединению.</w:t>
      </w:r>
    </w:p>
    <w:p>
      <w:pPr>
        <w:jc w:val="both"/>
      </w:pPr>
      <w:r>
        <w:rPr>
          <w:b w:val="0"/>
          <w:i w:val="0"/>
        </w:rPr>
        <w:t>4.4.3. Валидность сессии и (или) токена доступа должна проверяться на стороне сервера при каждом обращении к защищенным конечным точкам Системы, включая обращения посредством API. Сервер должен отклонять отсутствующие, поддельные, истекшие и завершенные сессии.</w:t>
      </w:r>
    </w:p>
    <w:p>
      <w:pPr>
        <w:jc w:val="both"/>
      </w:pPr>
      <w:r>
        <w:rPr>
          <w:b w:val="0"/>
          <w:i w:val="0"/>
        </w:rPr>
        <w:t>4.4.4. Идентификатор учетной записи и роль пользователя должны определяться на стороне сервера на основании сессии или токена доступа. Определение указанных сведений на основании параметров запроса, передаваемых клиентской частью, не допускается.</w:t>
      </w:r>
    </w:p>
    <w:p>
      <w:pPr>
        <w:jc w:val="both"/>
      </w:pPr>
      <w:r>
        <w:rPr>
          <w:b w:val="0"/>
          <w:i w:val="0"/>
        </w:rPr>
        <w:t>4.4.5. Система должна обеспечивать завершение сессии по истечении установленного срока ее действия, а также при выполнении пользователем выхода из Системы. Выход из Системы выполняется изменяющим запросом.</w:t>
      </w:r>
    </w:p>
    <w:p>
      <w:pPr>
        <w:jc w:val="both"/>
      </w:pPr>
      <w:r>
        <w:rPr>
          <w:b w:val="0"/>
          <w:i w:val="0"/>
        </w:rPr>
        <w:t>4.4.6. Система должна обеспечивать ограничение количества последовательных неуспешных попыток аутентификации: не более пяти попыток для учетной записи и дополнительное ограничение по источнику обращений в течение 15 минут, с временной блокировкой и регистрацией соответствующих событий в журнале. Ограничение должно действовать на стороне сервера и сохраняться при перезапуске Системы.</w:t>
      </w:r>
    </w:p>
    <w:p>
      <w:pPr>
        <w:jc w:val="both"/>
      </w:pPr>
      <w:r>
        <w:rPr>
          <w:b w:val="0"/>
          <w:i w:val="0"/>
        </w:rPr>
        <w:t>4.4.7. Токен доступа для API выдается Системой вошедшему пользователю по его запросу, имеет срок действия не более 15 минут и предъявляется в заголовке авторизации запроса. При каждом обращении проверяются подлинность и целостность токена, срок его действия, существование и активность учетной записи и актуальность полномочий. Истечение срока, выход из Системы, смена или сброс пароля, изменение роли либо назначений очередей должны прекращать действие ранее выданных токенов пользователя. Токен доступа предоставляет только права на чтение доступных пользователю обращений и не заменяет сессию на административных функциях и функциях выгрузки.</w:t>
      </w:r>
    </w:p>
    <w:p>
      <w:pPr>
        <w:jc w:val="both"/>
      </w:pPr>
      <w:r>
        <w:rPr>
          <w:b w:val="0"/>
          <w:i w:val="0"/>
        </w:rPr>
        <w:t>4.4.8. При создании, смене и сбросе пароля должна проверяться длина не менее 12 символов; распространенные и полностью числовые пароли должны отклоняться. Смена и административный сброс пароля должны препятствовать использованию старых данных аутентификации.</w:t>
      </w:r>
    </w:p>
    <w:p>
      <w:pPr>
        <w:jc w:val="both"/>
      </w:pPr>
      <w:r>
        <w:rPr>
          <w:b w:val="0"/>
          <w:i w:val="0"/>
        </w:rPr>
        <w:t>4.4.9. Операции, изменяющие состояние Системы и выполняемые при аутентификации по сессии, включая выдачу токена доступа, должны быть защищены от межсайтовой подделки запросов. Пароли, ключи и токены не должны передаваться в адресной строке и выводиться в сообщения об ошибках.</w:t>
      </w:r>
    </w:p>
    <w:p>
      <w:pPr>
        <w:pStyle w:val="Heading2"/>
      </w:pPr>
      <w:r>
        <w:t>4.5. Требования к обработке и хранению данных</w:t>
      </w:r>
    </w:p>
    <w:p>
      <w:pPr>
        <w:jc w:val="both"/>
      </w:pPr>
      <w:r>
        <w:rPr>
          <w:b w:val="0"/>
          <w:i w:val="0"/>
        </w:rPr>
        <w:t>4.5.1. Система обрабатывает и хранит персональные данные пользователей, включая фамилию, имя, отчество, логин, адрес электронной почты и аутентификационные данные, а также их копии в обращениях, комментариях, истории обработки и именах вложений.</w:t>
      </w:r>
    </w:p>
    <w:p>
      <w:pPr>
        <w:jc w:val="both"/>
      </w:pPr>
      <w:r>
        <w:rPr>
          <w:b w:val="0"/>
          <w:i w:val="0"/>
        </w:rPr>
        <w:t>4.5.2. Пароли учетных записей должны храниться исключительно в виде значений функций формирования ключа bcrypt, argon2 либо scrypt с использованием индивидуального параметра рандомизации и явно заданных параметров стоимости. Хранение паролей в открытом виде, в обратимо зашифрованном виде, а равно с применением быстрых хеш-функций общего назначения без адаптивного алгоритма не допускается. Требование распространяется на все способы создания и изменения пароля, включая первоначальное наполнение базы данных.</w:t>
      </w:r>
    </w:p>
    <w:p>
      <w:pPr>
        <w:jc w:val="both"/>
      </w:pPr>
      <w:r>
        <w:rPr>
          <w:b w:val="0"/>
          <w:i w:val="0"/>
        </w:rPr>
        <w:t>4.5.3. Иные персональные данные при хранении должны защищаться с применением СКЗИ с параметрами не ниже третьего уровня безопасности по СТ РК 1073-2007: структурированные поля - аутентифицированным шифрованием с длиной ключа не менее 256 бит, содержимое вложений - аутентифицированным шифрованием с уникальным вектором инициализации для каждого файла. Кодирование, маскирование в интерфейсе и ограничение прав доступа к файлу базы данных не заменяют шифрование данных.</w:t>
      </w:r>
    </w:p>
    <w:p>
      <w:pPr>
        <w:jc w:val="both"/>
      </w:pPr>
      <w:r>
        <w:rPr>
          <w:b w:val="0"/>
          <w:i w:val="0"/>
        </w:rPr>
        <w:t>4.5.4. Криптографические ключи должны создаваться при первоначальной настройке экземпляра Системы, храниться отдельно от зашифрованных данных и не включаться в исходный код, комплект поставки и общедоступные статические ресурсы. Ключи, файл базы данных, вложения, серверные сессии и диагностические журналы должны быть недоступны непривилегированным локальным субъектам сервера.</w:t>
      </w:r>
    </w:p>
    <w:p>
      <w:pPr>
        <w:jc w:val="both"/>
      </w:pPr>
      <w:r>
        <w:rPr>
          <w:b w:val="0"/>
          <w:i w:val="0"/>
        </w:rPr>
        <w:t>4.5.5. Сбор и обработка данных осуществляются посредством цифровых объектов, размещенных на территории Республики Казахстан. Хранение данных обеспечивается в базе данных, находящейся в серверном помещении или центре обработки данных на территории Республики Казахстан.</w:t>
      </w:r>
    </w:p>
    <w:p>
      <w:pPr>
        <w:jc w:val="both"/>
      </w:pPr>
      <w:r>
        <w:rPr>
          <w:b w:val="0"/>
          <w:i w:val="0"/>
        </w:rPr>
        <w:t>4.5.6. В журналах, диагностических файлах и сообщениях об ошибках Системы не должны появляться пароли, токены, ключи и полное содержимое персональных данных.</w:t>
      </w:r>
    </w:p>
    <w:p>
      <w:pPr>
        <w:jc w:val="both"/>
      </w:pPr>
      <w:r>
        <w:rPr>
          <w:b w:val="0"/>
          <w:i w:val="0"/>
        </w:rPr>
        <w:t>4.5.7. Комплект поставки не должен содержать рабочую базу данных, действительные персональные данные, закрытые ключи, действующие токены и сформированные журналы. Первоначальная настройка должна создавать отдельные секреты для каждого экземпляра Системы.</w:t>
      </w:r>
    </w:p>
    <w:p>
      <w:pPr>
        <w:pStyle w:val="Heading2"/>
      </w:pPr>
      <w:r>
        <w:t>4.6. Требования к журналированию и аудиту</w:t>
      </w:r>
    </w:p>
    <w:p>
      <w:pPr>
        <w:jc w:val="both"/>
      </w:pPr>
      <w:r>
        <w:rPr>
          <w:b w:val="0"/>
          <w:i w:val="0"/>
        </w:rPr>
        <w:t>4.6.1. В Системе должен вестись единый журнал действий пользователей, имеющих доступ к данным, охватывающий Систему в целом: веб-интерфейс, API, выгрузки и пакетные операции.</w:t>
      </w:r>
    </w:p>
    <w:p>
      <w:pPr>
        <w:jc w:val="both"/>
      </w:pPr>
      <w:r>
        <w:rPr>
          <w:b w:val="0"/>
          <w:i w:val="0"/>
        </w:rPr>
        <w:t>4.6.2. Журналирование должно быть реализовано общим программным компонентом, применяемым ко всем операциям доступа к данным. Реализация журналирования в отдельных функциях Системы при его отсутствии в остальных функциях не является выполнением настоящего требования. Запись истории обработки в карточке обращения не заменяет общий журнал.</w:t>
      </w:r>
    </w:p>
    <w:p>
      <w:pPr>
        <w:jc w:val="both"/>
      </w:pPr>
      <w:r>
        <w:rPr>
          <w:b w:val="0"/>
          <w:i w:val="0"/>
        </w:rPr>
        <w:t>4.6.3. Запись журнала должна содержать: уникальный идентификатор события, дату и время события с указанием часового пояса, идентификатор учетной записи (для неуспешного входа - безопасный производный идентификатор предъявленного логина), тип выполненной операции, идентификатор объекта или области данных, результат выполнения операции, идентификатор запроса и идентификатор источника запроса. Вместо открытого сетевого адреса допускается устойчивый криптографический идентификатор источника. Полные адреса запросов с параметрами, полный текст SQL, содержание обращений, секреты и содержимое выгрузок в журнал не записываются.</w:t>
      </w:r>
    </w:p>
    <w:p>
      <w:pPr>
        <w:jc w:val="both"/>
      </w:pPr>
      <w:r>
        <w:rPr>
          <w:b w:val="0"/>
          <w:i w:val="0"/>
        </w:rPr>
        <w:t>4.6.4. Регистрации подлежат: успешный вход, выход и отказ входа; просмотр списков, карточек обращений, скачивание вложений, чтение через API; создание, изменение и удаление обращений, комментариев, вложений, пользователей и очередей; пакетная смена статусов с указанием фактически затронутых обращений; назначение и смена ролей, выдача и отзыв прав на очереди, смена и сброс паролей; каждая выгрузка данных; отказы в доступе к защищенным операциям и объектам.</w:t>
      </w:r>
    </w:p>
    <w:p>
      <w:pPr>
        <w:jc w:val="both"/>
      </w:pPr>
      <w:r>
        <w:rPr>
          <w:b w:val="0"/>
          <w:i w:val="0"/>
        </w:rPr>
        <w:t>4.6.5. Дополнительно к журналу действий пользователей должно обеспечиваться ведение журнала событий СУБД: установление и отказ соединения, операции изменения структуры данных и штатное изменение прав доступа к файлу базы данных.</w:t>
      </w:r>
    </w:p>
    <w:p>
      <w:pPr>
        <w:jc w:val="both"/>
      </w:pPr>
      <w:r>
        <w:rPr>
          <w:b w:val="0"/>
          <w:i w:val="0"/>
        </w:rPr>
        <w:t>4.6.6. Для операций изменения данных должна обеспечиваться согласованность операции и события аудита: подтвержденное изменение не должно оставаться незарегистрированным, а отмененная операция не должна оставлять событие ее успешного выполнения.</w:t>
      </w:r>
    </w:p>
    <w:p>
      <w:pPr>
        <w:jc w:val="both"/>
      </w:pPr>
      <w:r>
        <w:rPr>
          <w:b w:val="0"/>
          <w:i w:val="0"/>
        </w:rPr>
        <w:t>4.6.7. Локальный журнал приложения должен храниться в зашифрованном виде с контролем целостности записей и быть защищен от чтения ключа, подмены и удаления записей непривилегированным локальным субъектом до момента их передачи сборщику событий. Сборщик событий должен проверять целостность каждой записи, изолировать поврежденные записи без прекращения обработки остальных и сохранять принятые записи без возможности незаметной подмены.</w:t>
      </w:r>
    </w:p>
    <w:p>
      <w:pPr>
        <w:jc w:val="both"/>
      </w:pPr>
      <w:r>
        <w:rPr>
          <w:b w:val="0"/>
          <w:i w:val="0"/>
        </w:rPr>
        <w:t>4.6.8. Должны применяться средства контроля целостности записей журналов, исключающие их модификацию и удаление пользователями Системы, включая пользователей с ролью «администратор». Функции редактирования или удаления записей аудита в Системе не предоставляются.</w:t>
      </w:r>
    </w:p>
    <w:p>
      <w:pPr>
        <w:jc w:val="both"/>
      </w:pPr>
      <w:r>
        <w:rPr>
          <w:b w:val="0"/>
          <w:i w:val="0"/>
        </w:rPr>
        <w:t>4.6.9. Срок хранения принятых записей журнала определяется внутренними нормативными документами Заказчика и не может составлять менее 30 суток; неотправленные записи по сроку не удаляются. Должны быть предусмотрены ограничение объема журнала, контроль работоспособности сборщика событий и диагностирование ошибок без раскрытия содержимого защищенных записей.</w:t>
      </w:r>
    </w:p>
    <w:p>
      <w:pPr>
        <w:pStyle w:val="Heading2"/>
      </w:pPr>
      <w:r>
        <w:t>4.7. Требования к отчетности и выгрузке данных</w:t>
      </w:r>
    </w:p>
    <w:p>
      <w:pPr>
        <w:jc w:val="both"/>
      </w:pPr>
      <w:r>
        <w:rPr>
          <w:b w:val="0"/>
          <w:i w:val="0"/>
        </w:rPr>
        <w:t>4.7.1. Система должна обеспечивать формирование справочника пользователей и его выгрузку в форматах CSV и JSON.</w:t>
      </w:r>
    </w:p>
    <w:p>
      <w:pPr>
        <w:jc w:val="both"/>
      </w:pPr>
      <w:r>
        <w:rPr>
          <w:b w:val="0"/>
          <w:i w:val="0"/>
        </w:rPr>
        <w:t>4.7.2. Выгрузка данных, содержащих персональные сведения, допускается исключительно для учетных записей с ролью «администратор». Проверка роли при выполнении выгрузки осуществляется на стороне сервера, одинакова для всех форматов выгрузки и не может быть заменена техническими признаками учетной записи или токеном доступа.</w:t>
      </w:r>
    </w:p>
    <w:p>
      <w:pPr>
        <w:jc w:val="both"/>
      </w:pPr>
      <w:r>
        <w:rPr>
          <w:b w:val="0"/>
          <w:i w:val="0"/>
        </w:rPr>
        <w:t>4.7.3. Каждый факт выгрузки данных, содержащих персональные сведения, подлежит обязательной регистрации в журнале аудита с указанием даты и времени выгрузки, инициатора, формата и количества выгруженных записей; состав полей определяется фиксированной схемой выгрузки: идентификатор пользователя, логин, фамилия, имя, отчество, адрес электронной почты и роль. Пароли, их хеши, идентификаторы сессий, токены и ключи выгрузке не подлежат.</w:t>
      </w:r>
    </w:p>
    <w:p>
      <w:pPr>
        <w:jc w:val="both"/>
      </w:pPr>
      <w:r>
        <w:rPr>
          <w:b w:val="0"/>
          <w:i w:val="0"/>
        </w:rPr>
        <w:t>4.7.4. Файл выгрузки формируется в ответе на запрос и не сохраняется Системой в общедоступном каталоге; ответ с выгрузкой не должен кэшироваться. Выгрузка в формате CSV должна исключать интерпретацию пользовательских значений как формул при открытии в табличном редакторе.</w:t>
      </w:r>
    </w:p>
    <w:p>
      <w:pPr>
        <w:jc w:val="both"/>
      </w:pPr>
      <w:r>
        <w:rPr>
          <w:b w:val="0"/>
          <w:i w:val="0"/>
        </w:rPr>
        <w:t>4.7.5. Для учетных записей с иными ролями допускается получение через API только доступных им обращений с необходимыми реквизитами; такие интерфейсы не должны предоставлять полный справочник пользователей.</w:t>
      </w:r>
    </w:p>
    <w:p>
      <w:pPr>
        <w:pStyle w:val="Heading2"/>
      </w:pPr>
      <w:r>
        <w:t>4.8. Требования к защите канала передачи данных</w:t>
      </w:r>
    </w:p>
    <w:p>
      <w:pPr>
        <w:jc w:val="both"/>
      </w:pPr>
      <w:r>
        <w:rPr>
          <w:b w:val="0"/>
          <w:i w:val="0"/>
        </w:rPr>
        <w:t>4.8.1. Обмен данными между клиентской и серверной частями Системы должен осуществляться исключительно с использованием защищенного соединения по протоколу TLS версии не ниже 1.2 с использованием стойких наборов шифров: для TLS 1.2 - только наборы с эфемерным обменом ключами (ECDHE) и аутентифицированным шифрованием (AEAD); наборы с обменом ключами RSA без ECDHE, режимом CBC и кодом аутентификации на основе SHA-1 не допускаются.</w:t>
      </w:r>
    </w:p>
    <w:p>
      <w:pPr>
        <w:jc w:val="both"/>
      </w:pPr>
      <w:r>
        <w:rPr>
          <w:b w:val="0"/>
          <w:i w:val="0"/>
        </w:rPr>
        <w:t>4.8.2. Передача данных по незащищенным протоколам не допускается. Должно обеспечиваться принудительное перенаправление обращений на защищенное соединение; приложение должно требовать защищенное соединение для сессионных и защитных cookie и объявлять политику принудительного использования защищенного соединения.</w:t>
      </w:r>
    </w:p>
    <w:p>
      <w:pPr>
        <w:jc w:val="both"/>
      </w:pPr>
      <w:r>
        <w:rPr>
          <w:b w:val="0"/>
          <w:i w:val="0"/>
        </w:rPr>
        <w:t>4.8.3. Отключение проверки подлинности сертификатов при установлении защищенного соединения, а равно использование устаревших версий протокола и слабых наборов шифров не допускается. Сертификат сервера создается при первоначальной настройке экземпляра; общее отключение проверки сертификатов на стороне клиента не является способом выполнения требования.</w:t>
      </w:r>
    </w:p>
    <w:p>
      <w:pPr>
        <w:jc w:val="both"/>
      </w:pPr>
      <w:r>
        <w:rPr>
          <w:b w:val="0"/>
          <w:i w:val="0"/>
        </w:rPr>
        <w:t>4.8.4. Внутреннее взаимодействие транспортного модуля и серверной части в пределах одного сервера допускается по локальному интерфейсу; сведения о защищенности соединения должны приниматься серверной частью только от транспортного модуля.</w:t>
      </w:r>
    </w:p>
    <w:p>
      <w:pPr>
        <w:jc w:val="both"/>
      </w:pPr>
      <w:r>
        <w:rPr>
          <w:b w:val="0"/>
          <w:i w:val="0"/>
        </w:rPr>
        <w:t>4.8.5. Транспортный модуль должен ограничивать число одновременных соединений, устанавливать предельное время установления соединения и чтения запроса и не допускать блокировки обслуживания одним незавершенным соединением.</w:t>
      </w:r>
    </w:p>
    <w:p>
      <w:pPr>
        <w:jc w:val="both"/>
      </w:pPr>
      <w:r>
        <w:rPr>
          <w:b w:val="0"/>
          <w:i w:val="0"/>
        </w:rPr>
        <w:t>4.8.6. Интеграция Системы с информационными системами Заказчика, при ее необходимости, осуществляется по согласованию Сторон посредством API с применением тех же механизмов аутентификации, авторизации, защиты канала и журналирования, от имени отдельной учетной записи с минимально необходимым объемом прав.</w:t>
      </w:r>
    </w:p>
    <w:p>
      <w:pPr>
        <w:pStyle w:val="Heading2"/>
      </w:pPr>
      <w:r>
        <w:t>4.9. Требования к каналам доступа к Системе</w:t>
      </w:r>
    </w:p>
    <w:p>
      <w:pPr>
        <w:jc w:val="both"/>
      </w:pPr>
      <w:r>
        <w:rPr>
          <w:b w:val="0"/>
          <w:i w:val="0"/>
        </w:rPr>
        <w:t>4.9.1. Веб-интерфейс Системы должен обеспечивать работу в интернет-браузерах на базе Chromium (Google Chrome, Microsoft Edge, Yandex Browser, Opera и иных браузерах на базе Chromium).</w:t>
      </w:r>
    </w:p>
    <w:p>
      <w:pPr>
        <w:jc w:val="both"/>
      </w:pPr>
      <w:r>
        <w:rPr>
          <w:b w:val="0"/>
          <w:i w:val="0"/>
        </w:rPr>
        <w:t>4.9.2. Обращения к Системе посредством API должны обрабатываться с применением тех же механизмов аутентификации, авторизации и журналирования, что и обращения посредством веб-интерфейса.</w:t>
      </w:r>
    </w:p>
    <w:p>
      <w:pPr>
        <w:jc w:val="both"/>
      </w:pPr>
      <w:r>
        <w:rPr>
          <w:b w:val="0"/>
          <w:i w:val="0"/>
        </w:rPr>
        <w:t>4.9.3. Без аутентификации должны быть доступны только статические ресурсы, необходимые для формы входа и работы интерфейса Системы. Статические ресурсы не должны содержать ключей, рабочей базы данных, журналов и пользовательских вложений; статические ресурсы неподключенных библиотечных компонентов не должны обслуживаться. Пользовательские вложения выдаются только через обработчик, проверяющий права доступа.</w:t>
      </w:r>
    </w:p>
    <w:p>
      <w:pPr>
        <w:pStyle w:val="Heading2"/>
      </w:pPr>
      <w:r>
        <w:t>4.10. Требования к документации</w:t>
      </w:r>
    </w:p>
    <w:p>
      <w:pPr>
        <w:jc w:val="both"/>
      </w:pPr>
      <w:r>
        <w:rPr>
          <w:b w:val="0"/>
          <w:i w:val="0"/>
        </w:rPr>
        <w:t>4.10.1. В составе Услуги Поставщик передает Заказчику документацию на Систему, включающую: техническую спецификацию (описание реализованных требований), инструкцию по установке, запуску и первоначальному наполнению Системы с перечнем начальных учетных записей и порядком проверки работоспособности (файл описания репозитория исходного кода README), а также лицензионные уведомления используемых сторонних компонентов.</w:t>
      </w:r>
    </w:p>
    <w:p>
      <w:pPr>
        <w:jc w:val="both"/>
      </w:pPr>
      <w:r>
        <w:rPr>
          <w:b w:val="0"/>
          <w:i w:val="0"/>
        </w:rPr>
        <w:t>4.10.2. Документация Системы, включая файл описания репозитория исходного кода (README) и техническую спецификацию, должна содержать наименования и ссылки на нормативные правовые акты и стандарты, перечисленные в пункте 6.1.1 настоящей Технической спецификации.</w:t>
      </w:r>
    </w:p>
    <w:p>
      <w:pPr>
        <w:jc w:val="both"/>
      </w:pPr>
      <w:r>
        <w:rPr>
          <w:b w:val="0"/>
          <w:i w:val="0"/>
        </w:rPr>
        <w:t>4.10.3. Документация предоставляется на русском языке в электронном виде и подлежит актуализации при внесении изменений в Систему.</w:t>
      </w:r>
    </w:p>
    <w:p>
      <w:pPr>
        <w:pStyle w:val="Heading2"/>
      </w:pPr>
      <w:r>
        <w:t>4.11. Основные технические характеристики Системы</w:t>
      </w:r>
    </w:p>
    <w:p>
      <w:pPr>
        <w:jc w:val="both"/>
      </w:pPr>
      <w:r>
        <w:rPr>
          <w:b w:val="0"/>
          <w:i w:val="0"/>
        </w:rPr>
        <w:t>4.11.1. Система должна включать следующие основные компоненты: веб-модуль, обеспечивающий отображение страниц Системы, взаимодействие с СУБД и реализацию основной логики; модуль хранения, обеспечивающий хранение данных и файловых объектов; модуль журналирования, обеспечивающий регистрацию событий и действий пользователей в едином журнале; транспортный модуль, обеспечивающий защищенный доступ.</w:t>
      </w:r>
    </w:p>
    <w:p>
      <w:pPr>
        <w:jc w:val="both"/>
      </w:pPr>
      <w:r>
        <w:rPr>
          <w:b w:val="0"/>
          <w:i w:val="0"/>
        </w:rPr>
        <w:t>4.11.2. Система должна принимать вложения форматов TXT, PDF, PNG и JPG размером не более 1 МиБ каждое с проверкой размера, расширения и соответствия содержимого заявленному формату в изолированном процессе; вложения с активным содержимым должны отклоняться. Вложения выдаются пользователю как файлы для скачивания и не должны исполняться сервером или браузером как активные страницы.</w:t>
      </w:r>
    </w:p>
    <w:p>
      <w:pPr>
        <w:jc w:val="both"/>
      </w:pPr>
      <w:r>
        <w:rPr>
          <w:b w:val="0"/>
          <w:i w:val="0"/>
        </w:rPr>
        <w:t>4.11.3. Система должна применять постраничную выдачу для списков и API, конечные ограничения объема для загружаемых данных и накопленного содержимого, а также обнаружение параллельного изменения карточки обращения, исключающее перезапись более нового состояния устаревшей формой без уведомления пользователя.</w:t>
      </w:r>
    </w:p>
    <w:p>
      <w:pPr>
        <w:jc w:val="both"/>
      </w:pPr>
      <w:r>
        <w:rPr>
          <w:b w:val="0"/>
          <w:i w:val="0"/>
        </w:rPr>
        <w:t>4.11.4. Удаление обращения должно согласованно удалять связанные записи и освобождать файлы вложений после подтверждения операции; при отмене операции файлы действующего обращения должны сохраняться.</w:t>
      </w:r>
    </w:p>
    <w:p>
      <w:pPr>
        <w:jc w:val="both"/>
      </w:pPr>
      <w:r>
        <w:rPr>
          <w:b w:val="0"/>
          <w:i w:val="0"/>
        </w:rPr>
        <w:t>4.11.5. Система должна обеспечивать диагностику ошибок работы сборщика событий и транспортного модуля с записью в защищенный диагностический журнал без раскрытия защищенных данных.</w:t>
      </w:r>
    </w:p>
    <w:p>
      <w:pPr>
        <w:pStyle w:val="Heading1"/>
      </w:pPr>
      <w:r>
        <w:t>5. Порядок и ход оказания услуги</w:t>
      </w:r>
    </w:p>
    <w:p>
      <w:pPr>
        <w:jc w:val="both"/>
      </w:pPr>
      <w:r>
        <w:rPr>
          <w:b w:val="0"/>
          <w:i w:val="0"/>
        </w:rPr>
        <w:t>5.1. Поставщик должен обладать правами на используемые при разработке Системы программные компоненты и библиотеки в объеме, достаточном для их правомерного использования Заказчиком, и сохранять в комплекте поставки их лицензионные уведомления.</w:t>
      </w:r>
    </w:p>
    <w:p>
      <w:pPr>
        <w:jc w:val="both"/>
      </w:pPr>
      <w:r>
        <w:rPr>
          <w:b w:val="0"/>
          <w:i w:val="0"/>
        </w:rPr>
        <w:t>5.2. Поставщик обязуется обеспечить бесперебойное функционирование и доступность Системы в режиме 24/7, за исключением проведения необходимых технических работ, недоступности источников данных или случаев, не зависящих от Поставщика.</w:t>
      </w:r>
    </w:p>
    <w:p>
      <w:pPr>
        <w:jc w:val="both"/>
      </w:pPr>
      <w:r>
        <w:rPr>
          <w:b w:val="0"/>
          <w:i w:val="0"/>
        </w:rPr>
        <w:t>5.3. Поставщик обязуется проводить при необходимости обновление Системы для оказания услуг в полном объеме и качестве, в том числе модификацию и оптимизацию баз данных и используемых решений.</w:t>
      </w:r>
    </w:p>
    <w:p>
      <w:pPr>
        <w:jc w:val="both"/>
      </w:pPr>
      <w:r>
        <w:rPr>
          <w:b w:val="0"/>
          <w:i w:val="0"/>
        </w:rPr>
        <w:t>5.4. Поставщик обязуется предоставить Заказчику и пользователям Системы необходимые инструкции и материалы по работе с Системой, включая инструкцию по установке и запуску, описание начальных учетных записей и порядок проверки работоспособности.</w:t>
      </w:r>
    </w:p>
    <w:p>
      <w:pPr>
        <w:jc w:val="both"/>
      </w:pPr>
      <w:r>
        <w:rPr>
          <w:b w:val="0"/>
          <w:i w:val="0"/>
        </w:rPr>
        <w:t>5.5. Поставщик обязуется обеспечить обучение (инструктаж) уполномоченных представителей Заказчика по работе с Системой, включая основные функции, порядок авторизации, использование личного кабинета, обработку обращений и администрирование пользователей. Обучение проводится в формате дистанционного или очного инструктажа по согласованию Сторон без дополнительной оплаты и в рамках оказания услуг по Договору.</w:t>
      </w:r>
    </w:p>
    <w:p>
      <w:pPr>
        <w:jc w:val="both"/>
      </w:pPr>
      <w:r>
        <w:rPr>
          <w:b w:val="0"/>
          <w:i w:val="0"/>
        </w:rPr>
        <w:t>5.6. Поставщик должен обладать службой технической поддержки пользователей по электронной почте, телефонам и мессенджерам в рабочие дни с 8:00 до 17:30 часов.</w:t>
      </w:r>
    </w:p>
    <w:p>
      <w:pPr>
        <w:jc w:val="both"/>
      </w:pPr>
      <w:r>
        <w:rPr>
          <w:b w:val="0"/>
          <w:i w:val="0"/>
        </w:rPr>
        <w:t>5.7. Поставщик обязуется уведомлять Заказчика не менее чем за 24 (двадцать четыре) часа о предстоящих профилактических работах, влекущих приостановку оказания Услуг.</w:t>
      </w:r>
    </w:p>
    <w:p>
      <w:pPr>
        <w:jc w:val="both"/>
      </w:pPr>
      <w:r>
        <w:rPr>
          <w:b w:val="0"/>
          <w:i w:val="0"/>
        </w:rPr>
        <w:t>5.8. Поставщик обязуется передать Заказчику исходный код Системы и сопроводительную документацию в объеме и порядке, установленных Договором. Комплект поставки должен включать исходный код, декларацию зависимостей с контрольными суммами, начальные миграции базы данных, конфигурацию транспортного модуля, средства создания синтетических данных и документацию по пункту 4.10.</w:t>
      </w:r>
    </w:p>
    <w:p>
      <w:pPr>
        <w:jc w:val="both"/>
      </w:pPr>
      <w:r>
        <w:rPr>
          <w:b w:val="0"/>
          <w:i w:val="0"/>
        </w:rPr>
        <w:t>5.9. Поставщик обязуется обеспечить Заказчику доступ к данным и журналам Системы на срок не менее 3 (трех) месяцев после завершения оказания Услуг.</w:t>
      </w:r>
    </w:p>
    <w:p>
      <w:pPr>
        <w:pStyle w:val="Heading1"/>
      </w:pPr>
      <w:r>
        <w:t>6. Требования к обеспечению информационной безопасности</w:t>
      </w:r>
    </w:p>
    <w:p>
      <w:pPr>
        <w:pStyle w:val="Heading2"/>
      </w:pPr>
      <w:r>
        <w:t>6.1. Нормативная основа</w:t>
      </w:r>
    </w:p>
    <w:p>
      <w:pPr>
        <w:jc w:val="both"/>
      </w:pPr>
      <w:r>
        <w:rPr>
          <w:b w:val="0"/>
          <w:i w:val="0"/>
        </w:rPr>
        <w:t>6.1.1. Система должна соответствовать требованиям, а документация Системы должна содержать наименования и ссылки на следующие нормативные правовые акты и стандарты:</w:t>
      </w:r>
    </w:p>
    <w:p>
      <w:pPr>
        <w:pStyle w:val="ListBullet"/>
        <w:jc w:val="both"/>
      </w:pPr>
      <w:r>
        <w:t>Закона Республики Казахстан от 24 ноября 2015 года № 418-V «О кибербезопасности»;</w:t>
      </w:r>
    </w:p>
    <w:p>
      <w:pPr>
        <w:pStyle w:val="ListBullet"/>
        <w:jc w:val="both"/>
      </w:pPr>
      <w:r>
        <w:t>Закона Республики Казахстан от 21 мая 2013 года № 94-V «О персональных данных и их защите» в действующей редакции;</w:t>
      </w:r>
    </w:p>
    <w:p>
      <w:pPr>
        <w:pStyle w:val="ListBullet"/>
        <w:jc w:val="both"/>
      </w:pPr>
      <w:r>
        <w:t>Единых требований в области информационно-коммуникационных технологий и обеспечения информационной безопасности, утвержденных постановлением Правительства Республики Казахстан от 20 декабря 2016 года № 832, в действующей редакции;</w:t>
      </w:r>
    </w:p>
    <w:p>
      <w:pPr>
        <w:pStyle w:val="ListBullet"/>
        <w:jc w:val="both"/>
      </w:pPr>
      <w:r>
        <w:t>СТ РК ISO/IEC 27001-2023 «Информационная безопасность, кибербезопасность и защита конфиденциальности. Системы менеджмента информационной безопасности. Требования»;</w:t>
      </w:r>
    </w:p>
    <w:p>
      <w:pPr>
        <w:pStyle w:val="ListBullet"/>
        <w:jc w:val="both"/>
      </w:pPr>
      <w:r>
        <w:t>СТ РК ISO/IEC 27002-2023 «Информационная безопасность, кибербезопасность и защита конфиденциальности. Средства управления информационной безопасностью»;</w:t>
      </w:r>
    </w:p>
    <w:p>
      <w:pPr>
        <w:pStyle w:val="ListBullet"/>
        <w:jc w:val="both"/>
      </w:pPr>
      <w:r>
        <w:t>СТ РК 1073-2007 «Средства криптографической защиты информации. Общие технические требования».</w:t>
      </w:r>
    </w:p>
    <w:p>
      <w:pPr>
        <w:jc w:val="both"/>
      </w:pPr>
      <w:r>
        <w:rPr>
          <w:b w:val="0"/>
          <w:i w:val="0"/>
        </w:rPr>
        <w:t>6.1.2. При оказании Услуги Поставщик также учитывает требования Цифрового кодекса Республики Казахстан от 9 января 2026 года № 255-VIII, Закона Республики Казахстан от 17 ноября 2025 года № 230-VIII «Об искусственном интеллекте», Правил осуществления собственником и (или) оператором, а также третьим лицом мер по защите персональных данных, утвержденных приказом Министра цифрового развития, инноваций и аэрокосмической промышленности Республики Казахстан от 12 июня 2023 года № 179/НҚ, и внутренних нормативных документов Заказчика в области информационной безопасности.</w:t>
      </w:r>
    </w:p>
    <w:p>
      <w:pPr>
        <w:jc w:val="both"/>
      </w:pPr>
      <w:r>
        <w:rPr>
          <w:b w:val="0"/>
          <w:i w:val="0"/>
        </w:rPr>
        <w:t>6.2. Данные, обрабатываемые Системой (сведения об учетных записях, персональные данные пользователей, содержание обращений и вложений, журналы действий), относятся к данным ограниченного доступа. Поставщик обеспечивает:</w:t>
      </w:r>
    </w:p>
    <w:p>
      <w:pPr>
        <w:pStyle w:val="ListBullet"/>
        <w:jc w:val="both"/>
      </w:pPr>
      <w:r>
        <w:t>сбор и обработку данных посредством цифровых объектов, размещенных на территории Республики Казахстан; хранение - в базе данных, находящейся в серверном помещении или центре обработки данных на территории Республики Казахстан;</w:t>
      </w:r>
    </w:p>
    <w:p>
      <w:pPr>
        <w:pStyle w:val="ListBullet"/>
        <w:jc w:val="both"/>
      </w:pPr>
      <w:r>
        <w:t>получение согласия субъекта персональных данных с указанием состава данных, целей, срока хранения и порядка отзыва согласия;</w:t>
      </w:r>
    </w:p>
    <w:p>
      <w:pPr>
        <w:pStyle w:val="ListBullet"/>
        <w:jc w:val="both"/>
      </w:pPr>
      <w:r>
        <w:t>применение средств криптографической защиты информации с параметрами не ниже третьего уровня безопасности по СТ РК 1073-2007 при хранении и передаче данных;</w:t>
      </w:r>
    </w:p>
    <w:p>
      <w:pPr>
        <w:pStyle w:val="ListBullet"/>
        <w:jc w:val="both"/>
      </w:pPr>
      <w:r>
        <w:t>передачу данных иным лицам исключительно по защищенным каналам и (или) с применением шифрования, при наличии согласия субъекта;</w:t>
      </w:r>
    </w:p>
    <w:p>
      <w:pPr>
        <w:pStyle w:val="ListBullet"/>
        <w:jc w:val="both"/>
      </w:pPr>
      <w:r>
        <w:t>ведение журнала событий системы управления базами данных и журнала действий пользователей, имеющих доступ к данным, а также применение средств контроля целостности;</w:t>
      </w:r>
    </w:p>
    <w:p>
      <w:pPr>
        <w:pStyle w:val="ListBullet"/>
        <w:jc w:val="both"/>
      </w:pPr>
      <w:r>
        <w:t>уведомление уполномоченного органа о нарушении безопасности персональных данных в течение одного рабочего дня с момента обнаружения;</w:t>
      </w:r>
    </w:p>
    <w:p>
      <w:pPr>
        <w:pStyle w:val="ListBullet"/>
        <w:jc w:val="both"/>
      </w:pPr>
      <w:r>
        <w:t>предоставление доступа государственной технической службе для обследования защищенности процессов обработки данных.</w:t>
      </w:r>
    </w:p>
    <w:p>
      <w:pPr>
        <w:pStyle w:val="Heading2"/>
      </w:pPr>
      <w:r>
        <w:t>6.3. Аутентификация, авторизация и разграничение доступа</w:t>
      </w:r>
    </w:p>
    <w:p>
      <w:pPr>
        <w:jc w:val="both"/>
      </w:pPr>
      <w:r>
        <w:rPr>
          <w:b/>
        </w:rPr>
        <w:t xml:space="preserve">6.3.1. </w:t>
      </w:r>
      <w:r>
        <w:rPr>
          <w:b w:val="0"/>
          <w:i w:val="0"/>
        </w:rPr>
        <w:t xml:space="preserve">ИБ-01. Разграничение доступа к административному функционалу. </w:t>
      </w:r>
    </w:p>
    <w:p>
      <w:pPr>
        <w:jc w:val="both"/>
      </w:pPr>
      <w:r>
        <w:rPr>
          <w:b w:val="0"/>
          <w:i w:val="0"/>
        </w:rPr>
        <w:t>Доступ к административному интерфейсу должен предоставляться исключительно пользователям с ролью «администратор». Проверка роли должна выполняться на стороне сервера при каждом обращении. Сокрытие элементов административного интерфейса на стороне клиента не является выполнением настоящего требования.</w:t>
      </w:r>
    </w:p>
    <w:p>
      <w:pPr>
        <w:jc w:val="both"/>
      </w:pPr>
      <w:r>
        <w:rPr>
          <w:b/>
        </w:rPr>
        <w:t xml:space="preserve">6.3.2. </w:t>
      </w:r>
      <w:r>
        <w:rPr>
          <w:b w:val="0"/>
          <w:i w:val="0"/>
        </w:rPr>
        <w:t xml:space="preserve">ИБ-02. Проверка сессии и токена на стороне сервера. </w:t>
      </w:r>
    </w:p>
    <w:p>
      <w:pPr>
        <w:jc w:val="both"/>
      </w:pPr>
      <w:r>
        <w:rPr>
          <w:b w:val="0"/>
          <w:i w:val="0"/>
        </w:rPr>
        <w:t>Валидность сессии и (или) токена должна проверяться на стороне сервера при каждом обращении к защищенным конечным точкам, включая программные интерфейсы (API).</w:t>
      </w:r>
    </w:p>
    <w:p>
      <w:pPr>
        <w:jc w:val="both"/>
      </w:pPr>
      <w:r>
        <w:rPr>
          <w:b w:val="0"/>
          <w:i w:val="0"/>
        </w:rPr>
        <w:t>6.3.3. Механизмы проверки подлинности и прав доступа реализуются общим программным компонентом Системы и применяются ко всем защищенным маршрутам без исключений.</w:t>
      </w:r>
    </w:p>
    <w:p>
      <w:pPr>
        <w:pStyle w:val="Heading2"/>
      </w:pPr>
      <w:r>
        <w:t>6.4. Криптографическая защита данных</w:t>
      </w:r>
    </w:p>
    <w:p>
      <w:pPr>
        <w:jc w:val="both"/>
      </w:pPr>
      <w:r>
        <w:rPr>
          <w:b/>
        </w:rPr>
        <w:t xml:space="preserve">6.4.1. </w:t>
      </w:r>
      <w:r>
        <w:rPr>
          <w:b w:val="0"/>
          <w:i w:val="0"/>
        </w:rPr>
        <w:t xml:space="preserve">ИБ-03. Защита канала передачи данных. </w:t>
      </w:r>
    </w:p>
    <w:p>
      <w:pPr>
        <w:jc w:val="both"/>
      </w:pPr>
      <w:r>
        <w:rPr>
          <w:b w:val="0"/>
          <w:i w:val="0"/>
        </w:rPr>
        <w:t>Обмен данными между клиентом и сервером должен осуществляться исключительно по протоколу TLS версии не ниже 1.2 с применением стойких шифронаборов. Наличие конфигураций, допускающих передачу данных в незащищенном виде либо использование устаревших версий протокола и слабых шифронаборов, является нарушением.</w:t>
      </w:r>
    </w:p>
    <w:p>
      <w:pPr>
        <w:jc w:val="both"/>
      </w:pPr>
      <w:r>
        <w:rPr>
          <w:b/>
        </w:rPr>
        <w:t xml:space="preserve">6.4.2. </w:t>
      </w:r>
      <w:r>
        <w:rPr>
          <w:b w:val="0"/>
          <w:i w:val="0"/>
        </w:rPr>
        <w:t xml:space="preserve">ИБ-04. Криптографическая защита персональных данных при хранении. </w:t>
      </w:r>
    </w:p>
    <w:p>
      <w:pPr>
        <w:jc w:val="both"/>
      </w:pPr>
      <w:r>
        <w:rPr>
          <w:b w:val="0"/>
          <w:i w:val="0"/>
        </w:rPr>
        <w:t>Персональные данные (фамилия, имя, отчество, логин, адрес электронной почты, пароль) должны храниться с применением криптографической защиты с параметрами не ниже уровня, установленного СТ РК 1073-2007. Пароли должны храниться в виде значений функций формирования ключа bcrypt, argon2 или scrypt. Хранение паролей в открытом виде, а равно с применением быстрых хеш-функций общего назначения без адаптивного алгоритма, является нарушением.</w:t>
      </w:r>
    </w:p>
    <w:p>
      <w:pPr>
        <w:jc w:val="both"/>
      </w:pPr>
      <w:r>
        <w:rPr>
          <w:b/>
        </w:rPr>
        <w:t xml:space="preserve">6.4.3. </w:t>
      </w:r>
      <w:r>
        <w:rPr>
          <w:b w:val="0"/>
          <w:i w:val="0"/>
        </w:rPr>
        <w:t xml:space="preserve">ИБ-05. Защита локальных журналов приложения. </w:t>
      </w:r>
    </w:p>
    <w:p>
      <w:pPr>
        <w:jc w:val="both"/>
      </w:pPr>
      <w:r>
        <w:rPr>
          <w:b w:val="0"/>
          <w:i w:val="0"/>
        </w:rPr>
        <w:t>Локальные журналы приложения должны храниться в зашифрованном виде и быть защищены от модификации пользователем до момента их отправки на сервер (передачи сборщику событий в хранилище принятых событий).</w:t>
      </w:r>
    </w:p>
    <w:p>
      <w:pPr>
        <w:pStyle w:val="Heading2"/>
      </w:pPr>
      <w:r>
        <w:t>6.5. Журналирование и аудит</w:t>
      </w:r>
    </w:p>
    <w:p>
      <w:pPr>
        <w:jc w:val="both"/>
      </w:pPr>
      <w:r>
        <w:rPr>
          <w:b/>
        </w:rPr>
        <w:t xml:space="preserve">6.5.1. </w:t>
      </w:r>
      <w:r>
        <w:rPr>
          <w:b w:val="0"/>
          <w:i w:val="0"/>
        </w:rPr>
        <w:t xml:space="preserve">ИБ-07. Журналирование действий пользователей и событий СУБД (сквозное требование). </w:t>
      </w:r>
    </w:p>
    <w:p>
      <w:pPr>
        <w:jc w:val="both"/>
      </w:pPr>
      <w:r>
        <w:rPr>
          <w:b w:val="0"/>
          <w:i w:val="0"/>
        </w:rPr>
        <w:t>В Системе должен быть реализован единый журнал действий пользователей, имеющих доступ к данным, а также журнал событий системы управления базами данных. Журналирование должно охватывать Систему в целом, а не отдельную функцию или отдельный программный модуль. Реализация журналирования в части функций, обеспечивающих доступ к данным, при отсутствии его в остальных, является нарушением.</w:t>
      </w:r>
    </w:p>
    <w:p>
      <w:pPr>
        <w:jc w:val="both"/>
      </w:pPr>
      <w:r>
        <w:rPr>
          <w:b/>
        </w:rPr>
        <w:t xml:space="preserve">6.5.2. </w:t>
      </w:r>
      <w:r>
        <w:rPr>
          <w:b w:val="0"/>
          <w:i w:val="0"/>
        </w:rPr>
        <w:t xml:space="preserve">ИБ-08. Контроль выгрузки персональных данных. </w:t>
      </w:r>
    </w:p>
    <w:p>
      <w:pPr>
        <w:jc w:val="both"/>
      </w:pPr>
      <w:r>
        <w:rPr>
          <w:b w:val="0"/>
          <w:i w:val="0"/>
        </w:rPr>
        <w:t>Выгрузка данных, содержащих персональные сведения, должна быть доступна исключительно пользователям с ролью «администратор». Каждый факт выгрузки должен фиксироваться записью в журнале аудита. Отсутствие проверки роли либо отсутствие записи в журнале аудита при выполнении выгрузки является нарушением.</w:t>
      </w:r>
    </w:p>
    <w:p>
      <w:pPr>
        <w:jc w:val="both"/>
      </w:pPr>
      <w:r>
        <w:rPr>
          <w:b w:val="0"/>
          <w:i w:val="0"/>
        </w:rPr>
        <w:t>6.5.3. Записи журналов защищаются средствами контроля целостности, исключающими их модификацию и удаление пользователями Системы.</w:t>
      </w:r>
    </w:p>
    <w:p>
      <w:pPr>
        <w:pStyle w:val="Heading2"/>
      </w:pPr>
      <w:r>
        <w:t>6.6. Отражение нормативных требований в документации</w:t>
      </w:r>
    </w:p>
    <w:p>
      <w:pPr>
        <w:jc w:val="both"/>
      </w:pPr>
      <w:r>
        <w:rPr>
          <w:b/>
        </w:rPr>
        <w:t xml:space="preserve">6.6.1. </w:t>
      </w:r>
      <w:r>
        <w:rPr>
          <w:b w:val="0"/>
          <w:i w:val="0"/>
        </w:rPr>
        <w:t xml:space="preserve">ИБ-06. Ссылки на нормативную базу в документации. </w:t>
      </w:r>
    </w:p>
    <w:p>
      <w:pPr>
        <w:jc w:val="both"/>
      </w:pPr>
      <w:r>
        <w:rPr>
          <w:b w:val="0"/>
          <w:i w:val="0"/>
        </w:rPr>
        <w:t>Документация Системы (README репозитория исходного кода, техническая спецификация) должна содержать ссылки на акты и стандарты, перечисленные в пункте 6.1.1 настоящей Технической спецификации. Настоящее требование не предполагает фактической сертификации и считается выполненным при наличии соответствующих ссылок в документации.</w:t>
      </w:r>
    </w:p>
    <w:p>
      <w:pPr>
        <w:jc w:val="both"/>
      </w:pPr>
      <w:r>
        <w:rPr>
          <w:b w:val="0"/>
          <w:i w:val="0"/>
        </w:rPr>
        <w:t>6.6.2. При внесении изменений в Систему соответствие реализованных функций защиты требованиям настоящего раздела подлежит подтверждению в составе сопроводительной документации к изменению.</w:t>
      </w:r>
    </w:p>
    <w:p>
      <w:pPr>
        <w:pStyle w:val="Heading2"/>
      </w:pPr>
      <w:r>
        <w:t>6.7. Испытания и подтверждающие документы</w:t>
      </w:r>
    </w:p>
    <w:p>
      <w:pPr>
        <w:jc w:val="both"/>
      </w:pPr>
      <w:r>
        <w:rPr>
          <w:b w:val="0"/>
          <w:i w:val="0"/>
        </w:rPr>
        <w:t>6.7.1. Прохождение необходимых испытаний на соответствие требованиям информационной безопасности подтверждается наличием протоколов по каждому виду испытаний, выданных аккредитованной испытательной лабораторией на территории Республики Казахстан, до ввода Системы в промышленную эксплуатацию.</w:t>
      </w:r>
    </w:p>
    <w:p>
      <w:pPr>
        <w:jc w:val="both"/>
      </w:pPr>
      <w:r>
        <w:rPr>
          <w:b w:val="0"/>
          <w:i w:val="0"/>
        </w:rPr>
        <w:t>6.7.2. Система подлежит включению в Реестр доверенного программного обеспечения и продукции электронной промышленности Республики Казахстан до ввода в промышленную эксплуатацию.</w:t>
      </w:r>
    </w:p>
    <w:p>
      <w:pPr>
        <w:jc w:val="both"/>
      </w:pPr>
      <w:r>
        <w:rPr>
          <w:b w:val="0"/>
          <w:i w:val="0"/>
        </w:rPr>
        <w:t>6.7.3. Сертификаты и подтверждающие документы (при наличии): сертификат соответствия системы менеджмента информационной безопасности требованиям СТ РК ISO/IEC 27001-2023; документы, подтверждающие уровень отказоустойчивости центра обработки данных размещения (Tier III или эквивалент); аудиторское заключение по итогам аудита качества цифрового объекта, проведенного в соответствии с Правилами проведения аудита качества цифровых объектов.</w:t>
      </w:r>
    </w:p>
    <w:p>
      <w:pPr>
        <w:pStyle w:val="Heading1"/>
      </w:pPr>
      <w:r>
        <w:t>7. Требования к персоналу Поставщика</w:t>
      </w:r>
    </w:p>
    <w:p>
      <w:pPr>
        <w:jc w:val="both"/>
      </w:pPr>
      <w:r>
        <w:rPr>
          <w:b w:val="0"/>
          <w:i w:val="0"/>
        </w:rPr>
        <w:t>7.1. Персонал, обеспечивающий разработку и сопровождение Системы, должен обладать квалификацией и компетенциями, достаточными для выполнения должностных обязанностей, связанных с разработкой, установкой, эксплуатацией, сопровождением и технической поддержкой Системы.</w:t>
      </w:r>
    </w:p>
    <w:p>
      <w:pPr>
        <w:jc w:val="both"/>
      </w:pPr>
      <w:r>
        <w:rPr>
          <w:b w:val="0"/>
          <w:i w:val="0"/>
        </w:rPr>
        <w:t>7.2. Количество персонала определяется Поставщиком исходя из потребностей, выявленных в процессе разработки и эксплуатации Системы, и должно быть достаточным для обеспечения бесперебойного функционирования Системы.</w:t>
      </w:r>
    </w:p>
    <w:p>
      <w:pPr>
        <w:jc w:val="both"/>
      </w:pPr>
      <w:r>
        <w:rPr>
          <w:b w:val="0"/>
          <w:i w:val="0"/>
        </w:rPr>
        <w:t>7.3. Минимальные требования к персоналу:</w:t>
      </w:r>
    </w:p>
    <w:p>
      <w:pPr>
        <w:pStyle w:val="ListBullet"/>
        <w:jc w:val="both"/>
      </w:pPr>
      <w:r>
        <w:t>наличие опыта работы в области разработки и сопровождения информационных систем не менее 3 лет;</w:t>
      </w:r>
    </w:p>
    <w:p>
      <w:pPr>
        <w:pStyle w:val="ListBullet"/>
        <w:jc w:val="both"/>
      </w:pPr>
      <w:r>
        <w:t>знание стандартов информационной безопасности (в том числе ISO/IEC 27001 и корпоративных регламентов Заказчика);</w:t>
      </w:r>
    </w:p>
    <w:p>
      <w:pPr>
        <w:pStyle w:val="ListBullet"/>
        <w:jc w:val="both"/>
      </w:pPr>
      <w:r>
        <w:t>навыки администрирования серверного и сетевого оборудования;</w:t>
      </w:r>
    </w:p>
    <w:p>
      <w:pPr>
        <w:pStyle w:val="ListBullet"/>
        <w:jc w:val="both"/>
      </w:pPr>
      <w:r>
        <w:t>умение работать с базами данных.</w:t>
      </w:r>
    </w:p>
    <w:p>
      <w:pPr>
        <w:jc w:val="both"/>
      </w:pPr>
      <w:r>
        <w:rPr>
          <w:b w:val="0"/>
          <w:i w:val="0"/>
        </w:rPr>
        <w:t>7.4. Персонал Поставщика обязан соблюдать требования по информационной безопасности и конфиденциальности данных Заказчика, что должно быть подтверждено подписанием соответствующих соглашений (NDA).</w:t>
      </w:r>
    </w:p>
    <w:p>
      <w:pPr>
        <w:pStyle w:val="Heading1"/>
      </w:pPr>
      <w:r>
        <w:t>8. Требования к конфиденциальности</w:t>
      </w:r>
    </w:p>
    <w:p>
      <w:pPr>
        <w:jc w:val="both"/>
      </w:pPr>
      <w:r>
        <w:rPr>
          <w:b w:val="0"/>
          <w:i w:val="0"/>
        </w:rPr>
        <w:t>8.1. Поставщик обязуется обеспечивать конфиденциальность всех данных, полученных или обработанных в процессе оказания услуг, включая персональные данные пользователей, содержание обращений, журналы событий и аналитические отчеты.</w:t>
      </w:r>
    </w:p>
    <w:p>
      <w:pPr>
        <w:jc w:val="both"/>
      </w:pPr>
      <w:r>
        <w:rPr>
          <w:b w:val="0"/>
          <w:i w:val="0"/>
        </w:rPr>
        <w:t>8.2. Персонал Поставщика, имеющий доступ к данным Заказчика, должен подписать соглашение о неразглашении (NDA), предусматривающее ответственность за разглашение или неправомерное использование информации.</w:t>
      </w:r>
    </w:p>
    <w:p>
      <w:pPr>
        <w:jc w:val="both"/>
      </w:pPr>
      <w:r>
        <w:rPr>
          <w:b w:val="0"/>
          <w:i w:val="0"/>
        </w:rPr>
        <w:t>8.3. Передача конфиденциальной информации третьим лицам без письменного согласия Заказчика запрещена.</w:t>
      </w:r>
    </w:p>
    <w:p>
      <w:pPr>
        <w:jc w:val="both"/>
      </w:pPr>
      <w:r>
        <w:rPr>
          <w:b w:val="0"/>
          <w:i w:val="0"/>
        </w:rPr>
        <w:t>8.4. Данные, обрабатываемые Системой, должны храниться и передаваться с использованием методов защиты информации в соответствии с требованиями законодательства Республики Казахстан и корпоративных стандартов АО «НК «КазМунайГаз».</w:t>
      </w:r>
    </w:p>
    <w:p>
      <w:pPr>
        <w:pStyle w:val="Heading1"/>
      </w:pPr>
      <w:r>
        <w:t>9. Порядок оплаты услуг</w:t>
      </w:r>
    </w:p>
    <w:p>
      <w:pPr>
        <w:jc w:val="both"/>
      </w:pPr>
      <w:r>
        <w:rPr>
          <w:b w:val="0"/>
          <w:i w:val="0"/>
        </w:rPr>
        <w:t>9.1. Оплата услуг осуществляется в порядке и сроки, установленные Договором.</w:t>
      </w:r>
    </w:p>
    <w:p>
      <w:pPr>
        <w:jc w:val="both"/>
      </w:pPr>
      <w:r>
        <w:rPr>
          <w:b w:val="0"/>
          <w:i w:val="0"/>
        </w:rPr>
        <w:t>9.2. Основанием для оплаты является документ, подтверждающий оказание услуг, оформленный и подписанный Сторонами в установленном порядке.</w:t>
      </w:r>
    </w:p>
    <w:p>
      <w:pPr>
        <w:jc w:val="both"/>
      </w:pPr>
      <w:r>
        <w:rPr>
          <w:b w:val="0"/>
          <w:i w:val="0"/>
        </w:rPr>
        <w:t>9.3. Стоимость услуг определяется условиями Договора.</w:t>
      </w:r>
    </w:p>
    <w:p>
      <w:pPr>
        <w:jc w:val="both"/>
      </w:pPr>
      <w:r>
        <w:rPr>
          <w:b w:val="0"/>
          <w:i w:val="0"/>
        </w:rPr>
        <w:t>9.4. Все расчеты между Сторонами осуществляются в национальной валюте Республики Казахстан - тенге (KZT), путем безналичного перечисления денежных средств на расчетный счет Поставщика.</w:t>
      </w:r>
    </w:p>
    <w:p>
      <w:pPr>
        <w:pStyle w:val="Heading1"/>
      </w:pPr>
      <w:r>
        <w:t>10. Сроки и место оказания услуг</w:t>
      </w:r>
    </w:p>
    <w:p>
      <w:pPr>
        <w:jc w:val="both"/>
      </w:pPr>
      <w:r>
        <w:rPr>
          <w:b w:val="0"/>
          <w:i w:val="0"/>
        </w:rPr>
        <w:t>10.1. Срок оказания услуг определяется условиями Договора.</w:t>
      </w:r>
    </w:p>
    <w:p>
      <w:pPr>
        <w:jc w:val="both"/>
      </w:pPr>
      <w:r>
        <w:rPr>
          <w:b w:val="0"/>
          <w:i w:val="0"/>
        </w:rPr>
        <w:t>10.2. Поставщик обеспечивает разработку, ввод в эксплуатацию Системы и оказание сопутствующих услуг в течение всего срока действия Договора.</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cs="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Техническая спецификация. Информационная система обработки обращений</dc:title>
  <dc:subject/>
  <dc:creator>АО «НК «КазМунайГаз»</dc:creator>
  <cp:keywords/>
  <dc:description>generated by python-docx</dc:description>
  <cp:lastModifiedBy/>
  <cp:revision>1</cp:revision>
  <dcterms:created xsi:type="dcterms:W3CDTF">2013-12-23T23:15:00Z</dcterms:created>
  <dcterms:modified xsi:type="dcterms:W3CDTF">2013-12-23T23:15:00Z</dcterms:modified>
  <cp:category/>
</cp:coreProperties>
</file>