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Министерство образования Республики Беларусь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Учреждение образования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«Белорусский государственный университет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информатики и радиоэлектроники»</w:t>
      </w:r>
    </w:p>
    <w:p>
      <w:pPr>
        <w:spacing w:line="360" w:lineRule="exact"/>
      </w:pP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Факультет компьютерного проектирования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Кафедра экономической информатики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Дисциплина «Программирование сетевых приложений»</w:t>
      </w:r>
    </w:p>
    <w:p>
      <w:pPr>
        <w:spacing w:line="360" w:lineRule="exact"/>
      </w:pPr>
    </w:p>
    <w:tbl>
      <w:tblPr>
        <w:tblW w:type="dxa" w:w="93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69"/>
        <w:gridCol w:w="5387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3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«К ЗАЩИТЕ ДОПУСТИТЬ»</w:t>
            </w:r>
          </w:p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Руководитель курсового проекта</w:t>
            </w:r>
          </w:p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Старший преподаватель кафедры ЭИ</w:t>
            </w:r>
          </w:p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 Д.А. Сторожев</w:t>
            </w:r>
          </w:p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___.____.2026</w:t>
            </w:r>
          </w:p>
        </w:tc>
      </w:tr>
    </w:tbl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ПОЯСНИТЕЛЬНАЯ ЗАПИСКА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курсовому проекту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тему: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«ПРОГРАММНОЕ СРЕДСТВО ДЛЯ ПОДДЕРЖКИ ПРОЦЕССА</w:t>
      </w: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ОКАЗАНИЯ СТРАХОВЫХ УСЛУГ НАСЕЛЕНИЮ»</w:t>
      </w:r>
    </w:p>
    <w:p>
      <w:pPr>
        <w:spacing w:line="360" w:lineRule="exact"/>
      </w:pP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БГУИР КП 1-40 01 02-08 015 ПЗ</w:t>
      </w:r>
    </w:p>
    <w:p>
      <w:pPr>
        <w:spacing w:line="360" w:lineRule="exact"/>
      </w:pPr>
    </w:p>
    <w:p>
      <w:pPr>
        <w:spacing w:line="360" w:lineRule="exact"/>
      </w:pPr>
    </w:p>
    <w:tbl>
      <w:tblPr>
        <w:tblW w:type="dxa" w:w="935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3969"/>
        <w:gridCol w:w="5387"/>
      </w:tblGrid>
      <w:tr>
        <w:tc>
          <w:tcPr>
            <w:tcW w:type="dxa" w:w="396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r>
              <w:t xml:space="preserve"/>
            </w:r>
          </w:p>
        </w:tc>
        <w:tc>
          <w:tcPr>
            <w:tcW w:type="dxa" w:w="5387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Выполнила студентка группы 414351</w:t>
            </w:r>
          </w:p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Балащенко Ксения Руслановна</w:t>
            </w:r>
          </w:p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____________________________</w:t>
            </w:r>
          </w:p>
          <w:p>
            <w:pPr>
              <w:spacing w:line="360" w:lineRule="exact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(подпись студента)</w:t>
            </w:r>
          </w:p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Курсовой проект представлен на проверку ___.____.2026</w:t>
            </w:r>
          </w:p>
          <w:p>
            <w:pPr>
              <w:spacing w:line="360" w:lineRule="exact"/>
              <w:jc w:val="left"/>
            </w:pPr>
            <w:r>
              <w:rPr>
                <w:rFonts w:ascii="Times New Roman" w:cs="Times New Roman" w:eastAsia="Times New Roman" w:hAnsi="Times New Roman"/>
                <w:sz w:val="28"/>
                <w:szCs w:val="28"/>
              </w:rPr>
              <w:t xml:space="preserve">____________________________</w:t>
            </w:r>
          </w:p>
          <w:p>
            <w:pPr>
              <w:spacing w:line="360" w:lineRule="exact"/>
              <w:jc w:val="center"/>
            </w:pPr>
            <w:r>
              <w:rPr>
                <w:rFonts w:ascii="Times New Roman" w:cs="Times New Roman" w:eastAsia="Times New Roman" w:hAnsi="Times New Roman"/>
                <w:sz w:val="20"/>
                <w:szCs w:val="20"/>
              </w:rPr>
              <w:t xml:space="preserve">(подпись студента)</w:t>
            </w:r>
          </w:p>
        </w:tc>
      </w:tr>
    </w:tbl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</w:pPr>
    </w:p>
    <w:p>
      <w:pPr>
        <w:spacing w:line="360" w:lineRule="exact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Минск 2026</w:t>
      </w:r>
    </w:p>
    <w:p>
      <w:pPr>
        <w:pStyle w:val="Heading1"/>
        <w:keepNext/>
        <w:keepLines/>
        <w:pageBreakBefore/>
        <w:spacing w:after="36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РЕФЕРАТ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 24 с., 10 рис., 10 табл., 10 источников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СТРАХОВЫЕ УСЛУГИ, ДОГОВОР СТРАХОВАНИЯ, СТРАХОВАЯ ПРЕМИЯ, СТРАХОВАЯ ВЫПЛАТА, КЛИЕНТ-СЕРВЕРНОЕ ПРИЛОЖЕНИЕ, JAVA, SWING, POSTGRESQL, IDEF0, IDEF1X, UML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Объектом разработки является процесс оказания страховых услуг физическим лицам: расчёт стоимости страхования, заключение и сопровождение договоров, учёт страховых взносов и урегулирование страховых случаев.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 курсового проекта – разработка клиент-серверного программного средства, автоматизирующего работу страховой компании с клиентами – физическими лицами, на языке Java с хранением данных в реляционной базе данных PostgreSQL.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процессе работы выполнен анализ предметной области, построены функциональная модель в нотации IDEF0, информационная модель в нотации IDEF1X и UML-модели программного средства, сформулированы функциональные требования, спроектированы архитектура, алгоритмы расчёта страховой премии и страховой выплаты, пользовательский интерфейс.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Результатом работы является программное средство «Страховой сервис», состоящее из многопоточного сервера и оконного клиентского приложения, поддерживающее роли клиента, страхового агента и администратора.</w:t>
      </w:r>
    </w:p>
    <w:p>
      <w:pPr>
        <w:pStyle w:val="Heading1"/>
        <w:keepNext/>
        <w:keepLines/>
        <w:pageBreakBefore/>
        <w:spacing w:after="36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ЗАДАНИЕ ПО КУРСОВОМУ ПРОЕКТУ</w:t>
      </w:r>
    </w:p>
    <w:p>
      <w:pPr>
        <w:spacing w:after="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(вместо этого листа подшивается подписанный бланк задания)</w:t>
      </w:r>
    </w:p>
    <w:p>
      <w:pPr>
        <w:sectPr>
          <w:pgSz w:w="11907" w:h="16840" w:orient="portrait"/>
          <w:pgMar w:top="1134" w:right="851" w:bottom="1134" w:left="1701" w:header="708" w:footer="567" w:gutter="0"/>
          <w:pgNumType/>
          <w:docGrid w:linePitch="360"/>
        </w:sectPr>
      </w:pPr>
    </w:p>
    <w:p>
      <w:pPr>
        <w:pStyle w:val="Heading1"/>
        <w:keepNext/>
        <w:keepLines/>
        <w:spacing w:after="36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СОДЕРЖАНИЕ</w:t>
      </w:r>
    </w:p>
    <w:p>
      <w:pPr>
        <w:tabs>
          <w:tab w:val="right" w:leader="dot" w:pos="9354"/>
        </w:tabs>
        <w:spacing w:after="0" w:line="360" w:lineRule="exact"/>
        <w:ind w:left="0" w:hanging="0"/>
        <w:jc w:val="left"/>
      </w:pPr>
      <w:r>
        <w:rPr>
          <w:rFonts w:ascii="Times New Roman" w:hAnsi="Times New Roman" w:cs="Times New Roman"/>
          <w:sz w:val="28"/>
        </w:rPr>
        <w:fldChar w:fldCharType="begin"/>
      </w:r>
      <w:r>
        <w:rPr>
          <w:rFonts w:ascii="Times New Roman" w:hAnsi="Times New Roman" w:cs="Times New Roman"/>
          <w:sz w:val="28"/>
        </w:rPr>
        <w:instrText xml:space="preserve"> TOC \o "1-2" \h \z \u </w:instrText>
      </w:r>
      <w:r>
        <w:rPr>
          <w:rFonts w:ascii="Times New Roman" w:hAnsi="Times New Roman" w:cs="Times New Roman"/>
          <w:sz w:val="28"/>
        </w:rPr>
        <w:fldChar w:fldCharType="separate"/>
      </w:r>
      <w:r>
        <w:rPr>
          <w:rFonts w:ascii="Times New Roman" w:hAnsi="Times New Roman" w:cs="Times New Roman"/>
          <w:sz w:val="28"/>
        </w:rPr>
        <w:t xml:space="preserve">Введение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5</w:t>
      </w:r>
    </w:p>
    <w:p>
      <w:pPr>
        <w:tabs>
          <w:tab w:val="right" w:leader="dot" w:pos="9354"/>
        </w:tabs>
        <w:spacing w:after="0" w:line="360" w:lineRule="exact"/>
        <w:ind w:left="284" w:hanging="284"/>
        <w:jc w:val="left"/>
      </w:pPr>
      <w:r>
        <w:rPr>
          <w:rFonts w:ascii="Times New Roman" w:hAnsi="Times New Roman" w:cs="Times New Roman"/>
          <w:sz w:val="28"/>
        </w:rPr>
        <w:t xml:space="preserve">1 Анализ и моделирование предметной области программного средства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7</w:t>
      </w:r>
    </w:p>
    <w:p>
      <w:pPr>
        <w:tabs>
          <w:tab w:val="right" w:leader="dot" w:pos="9354"/>
        </w:tabs>
        <w:spacing w:after="0" w:line="360" w:lineRule="exact"/>
        <w:ind w:left="851" w:hanging="567"/>
        <w:jc w:val="left"/>
      </w:pPr>
      <w:r>
        <w:rPr>
          <w:rFonts w:ascii="Times New Roman" w:hAnsi="Times New Roman" w:cs="Times New Roman"/>
          <w:sz w:val="28"/>
        </w:rPr>
        <w:t xml:space="preserve">1.1 Описание процесса оказания страховых услуг населению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7</w:t>
      </w:r>
    </w:p>
    <w:p>
      <w:pPr>
        <w:tabs>
          <w:tab w:val="right" w:leader="dot" w:pos="9354"/>
        </w:tabs>
        <w:spacing w:after="0" w:line="360" w:lineRule="exact"/>
        <w:ind w:left="851" w:hanging="567"/>
        <w:jc w:val="left"/>
      </w:pPr>
      <w:r>
        <w:rPr>
          <w:rFonts w:ascii="Times New Roman" w:hAnsi="Times New Roman" w:cs="Times New Roman"/>
          <w:sz w:val="28"/>
        </w:rPr>
        <w:t xml:space="preserve">1.2 Разработка функциональной модели предметной области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8</w:t>
      </w:r>
    </w:p>
    <w:p>
      <w:pPr>
        <w:tabs>
          <w:tab w:val="right" w:leader="dot" w:pos="9354"/>
        </w:tabs>
        <w:spacing w:after="0" w:line="360" w:lineRule="exact"/>
        <w:ind w:left="851" w:hanging="567"/>
        <w:jc w:val="left"/>
      </w:pPr>
      <w:r>
        <w:rPr>
          <w:rFonts w:ascii="Times New Roman" w:hAnsi="Times New Roman" w:cs="Times New Roman"/>
          <w:sz w:val="28"/>
        </w:rPr>
        <w:t xml:space="preserve">1.3 Анализ требований к разрабатываемому программному средству. Спецификация функциональных требований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12</w:t>
      </w:r>
    </w:p>
    <w:p>
      <w:pPr>
        <w:tabs>
          <w:tab w:val="right" w:leader="dot" w:pos="9354"/>
        </w:tabs>
        <w:spacing w:after="0" w:line="360" w:lineRule="exact"/>
        <w:ind w:left="851" w:hanging="567"/>
        <w:jc w:val="left"/>
      </w:pPr>
      <w:r>
        <w:rPr>
          <w:rFonts w:ascii="Times New Roman" w:hAnsi="Times New Roman" w:cs="Times New Roman"/>
          <w:sz w:val="28"/>
        </w:rPr>
        <w:t xml:space="preserve">1.4 Разработка информационной модели предметной области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14</w:t>
      </w:r>
    </w:p>
    <w:p>
      <w:pPr>
        <w:tabs>
          <w:tab w:val="right" w:leader="dot" w:pos="9354"/>
        </w:tabs>
        <w:spacing w:after="0" w:line="360" w:lineRule="exact"/>
        <w:ind w:left="851" w:hanging="567"/>
        <w:jc w:val="left"/>
      </w:pPr>
      <w:r>
        <w:rPr>
          <w:rFonts w:ascii="Times New Roman" w:hAnsi="Times New Roman" w:cs="Times New Roman"/>
          <w:sz w:val="28"/>
        </w:rPr>
        <w:t xml:space="preserve">1.5 UML-модели представления программного средства и их описание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18</w:t>
      </w:r>
    </w:p>
    <w:p>
      <w:pPr>
        <w:tabs>
          <w:tab w:val="right" w:leader="dot" w:pos="9354"/>
        </w:tabs>
        <w:spacing w:after="0" w:line="360" w:lineRule="exact"/>
        <w:ind w:left="0" w:hanging="0"/>
        <w:jc w:val="left"/>
      </w:pPr>
      <w:r>
        <w:rPr>
          <w:rFonts w:ascii="Times New Roman" w:hAnsi="Times New Roman" w:cs="Times New Roman"/>
          <w:sz w:val="28"/>
        </w:rPr>
        <w:t xml:space="preserve">Список использованных источников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>24</w:t>
      </w:r>
      <w:r>
        <w:rPr>
          <w:rFonts w:ascii="Times New Roman" w:hAnsi="Times New Roman" w:cs="Times New Roman"/>
          <w:sz w:val="28"/>
        </w:rPr>
        <w:fldChar w:fldCharType="end"/>
      </w:r>
    </w:p>
    <w:p>
      <w:pPr>
        <w:pStyle w:val="Heading1"/>
        <w:keepNext/>
        <w:keepLines/>
        <w:pageBreakBefore/>
        <w:spacing w:after="36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Страхование является одним из основных механизмов защиты имущественных интересов граждан от последствий случайных неблагоприятных событий: повреждения жилья и автомобиля, несчастных случаев, болезни во время поездки за рубеж. Добровольные виды страхования физических лиц относятся к массовым услугам: страховая компания одновременно сопровождает тысячи договоров, по каждому из которых нужно рассчитать стоимость, оформить полис, проконтролировать уплату взносов, а при наступлении страхового случая – проверить обоснованность требования и рассчитать сумму возмещения.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 ручном ведении этих операций или при использовании разрозненных электронных таблиц возникают типичные проблемы: ошибки при расчёте страховой премии и выплат, несогласованность сведений о договорах между сотрудниками, потеря информации о просроченных взносах, длительное ожидание клиентом решения по заявке, трудоёмкость подготовки отчётности для руководства. Поэтому автоматизация процесса оказания страховых услуг населению является актуальной задачей.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Целью курсового проекта является разработка программного средства для поддержки процесса оказания страховых услуг населению, построенного по архитектуре «клиент-сервер» с многопоточным сервером и хранением данных в реляционной базе данных.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поставленной цели необходимо решить следующие задачи: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проанализировать предметную область и построить её функциональную модель в нотации IDEF0;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сформулировать функциональные и нефункциональные требования к программному средству;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разработать информационную модель предметной области в нотации IDEF1X и спроектировать базу данных, приведённую к третьей нормальной форме;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построить UML-модели программного средства: диаграммы вариантов использования, состояний, последовательности, классов и развёртывания;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спроектировать архитектуру программного средства, алгоритмы расчёта страховой премии и страховой выплаты, пользовательский интерфейс;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реализовать серверную и клиентскую части программного средства на языке Java;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провести тестирование программного средства и подготовить инструкцию по его развёртыванию.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Программное средство предназначено для трёх категорий пользователей: клиентов страховой компании, страховых агентов и администратора. Оно позволяет клиенту самостоятельно рассчитать стоимость страхования, подать заявку, вносить взносы и заявлять о страховых случаях, агенту – оформлять договоры и урегулировать убытки, а администратору – управлять тарифами и анализировать результаты деятельности компании.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Пояснительная записка оформлена в соответствии со стандартом предприятия СТП 01-2024 [1].</w:t>
      </w:r>
    </w:p>
    <w:p>
      <w:pPr>
        <w:pStyle w:val="Heading1"/>
        <w:keepNext/>
        <w:keepLines/>
        <w:pageBreakBefore/>
        <w:tabs>
          <w:tab w:val="left" w:pos="1049"/>
        </w:tabs>
        <w:spacing w:after="360" w:before="0" w:line="360" w:lineRule="exact"/>
        <w:ind w:left="1049" w:hanging="34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	АНАЛИЗ И МОДЕЛИРОВАНИЕ ПРЕДМЕТНОЙ ОБЛАСТИ ПРОГРАММНОГО СРЕДСТВА</w:t>
      </w:r>
    </w:p>
    <w:p>
      <w:pPr>
        <w:pStyle w:val="Heading2"/>
        <w:keepNext/>
        <w:keepLines/>
        <w:tabs>
          <w:tab w:val="left" w:pos="1276"/>
        </w:tabs>
        <w:spacing w:after="360" w:before="360" w:line="360" w:lineRule="exact"/>
        <w:ind w:left="1276" w:hanging="567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	Описание процесса оказания страховых услуг населению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Страхование – это отношения по защите имущественных интересов физических и юридических лиц при наступлении определённых событий (страховых случаев) за счёт денежных фондов, формируемых из уплачиваемых страховых взносов. В Республике Беларусь страховая деятельность регулируется главой 48 Гражданского кодекса [2] и Положением о страховой деятельности, утверждённым Указом Президента Республики Беларусь № 530 [3]. Добровольное страхование осуществляется на основании правил страхования, которые разрабатывает и утверждает страховая организация.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Основными участниками процесса являются страховщик (страховая организация), страхователь – физическое лицо, заключившее договор, и страховой агент – работник страховщика, который консультирует клиентов, оформляет договоры и рассматривает заявления о страховых случаях. Руководство компании устанавливает тарифы и анализирует результаты продаж и выплат.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Ключевыми понятиями предметной области являются: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страховая сумма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денежная сумма, в пределах которой страховщик обязан произвести выплату;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страховой тариф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ставка страховой премии с единицы страховой суммы за период страхования;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страховая премия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плата за страхование, которую страхователь обязан уплатить страховщику; может уплачиваться единовременно или в рассрочку страховыми взносами;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франшиза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часть убытка, не возмещаемая страховщиком; устанавливается в процентах от страховой суммы;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страховой случай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совершившееся событие, предусмотренное договором, с наступлением которого возникает обязанность страховщика произвести страховую выплату;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страховая выплата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денежная сумма, выплачиваемая страховщиком в возмещение ущерба;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коэффициент убыточности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отношение суммы страховых выплат к сумме собранных страховых премий за период.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 рамках курсового проекта рассматриваются четыре массовых вида добровольного страхования физических лиц: страхование имущества (квартиры), страхование наземных транспортных средств (КАСКО), страхование от несчастных случаев и страхование медицинских расходов граждан, выезжающих за рубеж.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Процесс оказания страховой услуги включает следующие этапы: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1) Консультирование и расчёт стоимости. Клиент обращается в компанию, выбирает вид страхования, страховую сумму и срок; агент по тарифам рассчитывает размер премии с учётом поправочных коэффициентов (возраст страхователя, срок, история выплат, размер франшизы).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2) Заключение договора. Клиент подаёт заявление (заявку) с данными об объекте страхования; агент проверяет заявку и при положительном решении оформляет полис, определяя график уплаты взносов.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3) Сопровождение договора. Учитываются поступившие взносы, контролируются просрочки, договор может быть продлён на новый срок или досрочно расторгнут с возвратом части премии.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4) Урегулирование страхового случая. Клиент сообщает о событии, агент проверяет действие договора и уплату взносов, оценивает ущерб, рассчитывает и оформляет выплату или мотивированный отказ.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5) Отчётность и анализ. Руководство получает сведения о продажах агентов и анализирует убыточность видов страхования, на основании которой корректируются тарифы.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Анализ существующих решений показывает, что крупные страховые организации предоставляют клиентам личные кабинеты на своих сайтах [4], а внутренний учёт ведут в отраслевых учётных системах. Такие решения дороги, ориентированы на конкретную компанию и не подходят для небольших страховых организаций и учебных целей. Разрабатываемое программное средство объединяет в одном приложении функции клиента, агента и администратора, автоматизирует расчёты премии, выплат и возвратов и предоставляет аналитику в наглядном виде.</w:t>
      </w:r>
    </w:p>
    <w:p>
      <w:pPr>
        <w:pStyle w:val="Heading2"/>
        <w:keepNext/>
        <w:keepLines/>
        <w:tabs>
          <w:tab w:val="left" w:pos="1276"/>
        </w:tabs>
        <w:spacing w:after="360" w:before="360" w:line="360" w:lineRule="exact"/>
        <w:ind w:left="1276" w:hanging="567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	Разработка функциональной модели предметной области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Функциональная модель предметной области построена в нотации IDEF0 [5]. Цель моделирования – описать процесс оказания страховых услуг физическим лицам для определения функций, подлежащих автоматизации. Точка зрения – руководитель страховой компании. Модель содержит четыре уровня: контекстную диаграмму A-0, диаграмму декомпозиции A0, диаграмму декомпозиции функции A4 и диаграмму декомпозиции функции A44.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Контекстная диаграмма приведена на рисунке 1.1. Входами процесса являются обращение клиента с данными страхователя и объекта страхования, страховые взносы и заявления о страховых случаях. Процесс управляется законодательством Республики Беларусь о страховании, а также правилами страхования и тарифами компании. Выходами являются договоры страхования (полисы), страховые выплаты или мотивированные отказы, отчётность и анализ убыточности. Механизмами выполнения процесса выступают страховые агенты, администратор и разрабатываемое программное средство.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943600" cy="38004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00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 – Контекстная диаграмма A-0 «Оказывать страховые услуги населению»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Декомпозиция контекстной функции (рисунок 1.2) выделяет пять подпроцессов: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A1 «Консультировать и рассчитать стоимость страхования» – по обращению клиента и тарифам компании рассчитывается стоимость страхования;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A2 «Заключить договор страхования» – на основе расчёта оформляется договор (полис) и график взносов;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A3 «Сопровождать договор страхования» – учитываются поступающие взносы, формируются сведения о статусе договора и об оплате;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A4 «Урегулировать страховой случай» – по заявлению клиента с учётом статуса договора принимается решение о выплате или об отказе;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A5 «Формировать отчётность и анализировать убыточность» – по данным о договорах, взносах и выплатах формируется отчётность для руководства.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9436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1.2 – Диаграмма декомпозиции A0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Наиболее ответственным подпроцессом является урегулирование страхового случая, так как ошибка в нём ведёт к прямым финансовым потерям компании или к обоснованным претензиям клиентов. Его декомпозиция приведена на рисунке 1.3. Заявление о страховом случае регистрируется (A41), затем проверяются действие договора на дату события и отсутствие просроченных взносов (A42). Если договор не действовал или взносы просрочены, формируется основание для отказа, которое передаётся сразу в функцию оформления решения (A45). В противном случае оценивается размер ущерба (A43), рассчитывается сумма выплаты (A44) и оформляется решение (A45).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943600" cy="37814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1.3 – Диаграмма декомпозиции A4 «Урегулировать страховой случай»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Функция расчёта страховой выплаты детализирована на рисунке 1.4. Сначала определяется остаток страховой суммы с учётом ранее произведённых по договору выплат (A441). Параллельно из размера ущерба вычитается франшиза (A442). Затем выплата ограничивается остатком страховой суммы (A443), после чего выплата фиксируется, а при исчерпании страховой суммы договор переводится в статус «Исполнен» (A444). Именно эта функция реализуется алгоритмом расчёта страховой выплаты в разрабатываемом программном средстве.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943600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1.4 – Диаграмма декомпозиции A44 «Рассчитать страховую выплату»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Построенная модель показывает, что все пять подпроцессов опираются на общие данные о клиентах, договорах, взносах и выплатах и выполняются разными сотрудниками. Это обосновывает необходимость единого программного средства с централизованной базой данных и разграничением прав доступа по ролям.</w:t>
      </w:r>
    </w:p>
    <w:p>
      <w:pPr>
        <w:pStyle w:val="Heading2"/>
        <w:keepNext/>
        <w:keepLines/>
        <w:tabs>
          <w:tab w:val="left" w:pos="1276"/>
        </w:tabs>
        <w:spacing w:after="360" w:before="360" w:line="360" w:lineRule="exact"/>
        <w:ind w:left="1276" w:hanging="567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	Анализ требований к разрабатываемому программному средству. Спецификация функциональных требований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основе функциональной модели выделены три роли пользователей программного средства: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клиент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физическое лицо, страхователь; регистрируется в системе самостоятельно;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агент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сотрудник страховой компании; учётную запись создаёт администратор;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администратор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– отвечает за справочники, учётные записи и аналитику.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Незарегистрированный пользователь (гость) может только зарегистрироваться в качестве клиента. Для доступа ко всем остальным функциям требуется авторизация по логину и паролю. Спецификация функциональных требований приведена в таблице 1.1.</w:t>
      </w: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 – Спецификация функциональных требований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77"/>
        <w:gridCol w:w="6237"/>
        <w:gridCol w:w="2042"/>
      </w:tblGrid>
      <w:tr>
        <w:trPr>
          <w:cantSplit/>
          <w:tblHeader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Код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Требование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Роль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ФТ-01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Регистрация клиента: ввод логина, пароля, ФИО, даты рождения, паспортных данных и контактов; проверка уникальности логина и номера паспорта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Гость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ФТ-02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Авторизация по логину и паролю; хранение пароля в виде хеша SHA-256 с солью; запрет входа заблокированным пользователям; открытие окна, соответствующего роли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Все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ФТ-03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Расчёт стоимости страхования по виду, страховой сумме, сроку и франшизе с учётом возраста и истории выплат клиента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Клиент, агент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ФТ-04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Подача заявки на страхование с описанием объекта и выбранным порядком уплаты взносов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ФТ-05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Рассмотрение заявки: одобрение с автоматическим оформлением полиса, расчётом премии и графика взносов либо отклонение с указанием причины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ФТ-06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Внесение очередного страхового взноса; перевод договора в статус «Действует» после первого взноса и снятие приостановки после погашения задолженности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ФТ-07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Подача заявления о страховом случае с датой события, описанием и размером ущерба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ФТ-08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Урегулирование страхового случая: автоматическая проверка условий, расчёт выплаты с учётом франшизы и остатка страховой суммы, фиксация решения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ФТ-09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Продление договора на новый срок с пересчётом премии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ФТ-10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Досрочное расторжение договора с расчётом возврата части премии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ФТ-11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Контроль просроченных взносов и договоров, срок действия которых истекает в течение 30 дней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ФТ-12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Просмотр клиентом своих договоров, графика взносов, заявок и статусов страховых случаев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ФТ-13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видами страхования и тарифами: базовый тариф, пределы страховой суммы, максимальный срок, признак активности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ФТ-14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Управление учётными записями агентов: создание, блокировка и разблокировка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ФТ-15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Отчёт о продажах агентов за период (число договоров, сумма премий) с диаграммой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ФТ-16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Анализ убыточности видов страхования за период (премии, выплаты, коэффициент убыточности) с диаграммой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</w:tr>
      <w:tr>
        <w:trPr>
          <w:cantSplit/>
          <w:tblHeader w:val="false"/>
        </w:trPr>
        <w:tc>
          <w:tcPr>
            <w:tcW w:type="dxa" w:w="107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ФТ-17</w:t>
            </w:r>
          </w:p>
        </w:tc>
        <w:tc>
          <w:tcPr>
            <w:tcW w:type="dxa" w:w="6237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Выгрузка отчётов в текстовый файл</w:t>
            </w:r>
          </w:p>
        </w:tc>
        <w:tc>
          <w:tcPr>
            <w:tcW w:type="dxa" w:w="204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Администратор</w:t>
            </w:r>
          </w:p>
        </w:tc>
      </w:tr>
    </w:tbl>
    <w:p>
      <w:pPr>
        <w:spacing w:after="120" w:line="240"/>
      </w:pP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Требования ФТ-03, ФТ-05, ФТ-08, ФТ-10, ФТ-11, ФТ-15 и ФТ-16 реализуют высокоуровневую бизнес-логику и не сводятся к добавлению, изменению или удалению записей базы данных. Вся бизнес-логика выполняется на серверной стороне; клиентское приложение только передаёт запросы и отображает результаты.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 программному средству предъявляются следующие нефункциональные требования: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архитектура «клиент-сервер»; сервер обрабатывает запросы нескольких клиентов параллельно, каждое подключение обслуживается в отдельном потоке;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настройки сервера (порт, параметры подключения к базе данных, размер пула потоков) задаются в конфигурационном файле и аргументах командной строки без изменения исходного кода;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клиентское приложение – оконное, на стандартной библиотеке Swing;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хранение данных – в СУБД PostgreSQL, доступ через JDBC-драйвер производителя; операции, изменяющие несколько таблиц, выполняются в транзакциях;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работа в операционной системе Windows 7 и выше при установленной среде выполнения Java;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время отклика на типовые операции – не более 2 с при работе в локальной сети;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все денежные расчёты выполняются в типе BigDecimal с округлением до копеек;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– ошибочный ввод пользователя не должен приводить к аварийному завершению программы: выводится понятное сообщение об ошибке.</w:t>
      </w:r>
    </w:p>
    <w:p>
      <w:pPr>
        <w:pStyle w:val="Heading2"/>
        <w:keepNext/>
        <w:keepLines/>
        <w:tabs>
          <w:tab w:val="left" w:pos="1276"/>
        </w:tabs>
        <w:spacing w:after="360" w:before="360" w:line="360" w:lineRule="exact"/>
        <w:ind w:left="1276" w:hanging="567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1.4	Разработка информационной модели предметной области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Информационная модель построена в нотации IDEF1X [6] и приведена на рисунке 1.5. При её разработке выделены сущности предметной области, их атрибуты и связи, после чего отношения приведены к третьей нормальной форме: все атрибуты атомарны (1НФ), неключевые атрибуты полностью зависят от первичного ключа (2НФ) и не зависят транзитивно друг от друга (3НФ). Так, данные о человеке вынесены из учётной записи в отдельные сущности «Клиент» и «Агент», а тарифы – в сущность «Вид страхования», на которую ссылаются заявки и договоры.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9436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1.5 – Информационная модель предметной области в нотации IDEF1X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Сущность payments (взнос) является зависимой: её первичный ключ состоит из идентификатора договора и номера взноса, поэтому связь «договор – взносы» является идентифицирующей (сплошная линия). Остальные связи – неидентифицирующие (штриховая линия). Мощность связей: «один ко многим» по умолчанию, P – «один к одному или более», Z – «один к нулю или одному». Связи «учётная запись – клиент», «учётная запись – агент» и «заявка – договор» имеют мощность Z, так как одной учётной записи соответствует не более одного клиента или агента, а по одной заявке оформляется не более одного договора.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Ссылочная целостность обеспечивается внешними ключами с правилом ON DELETE RESTRICT; для взносов используется каскадное удаление вместе с договором. Допустимые значения статусов, неотрицательность денежных сумм и корректность дат контролируются ограничениями CHECK. Назначение таблиц и их полей приведено в таблицах 1.2 – 1.10.</w:t>
      </w: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1.2 – Структура таблицы roles (роли)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SERIAL,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роли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VARCHAR(20), UNIQUE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Код роли: CLIENT, AGENT, ADMIN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1.3 – Структура таблицы users (учётные записи)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SERIAL,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учётной записи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login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VARCHAR(50), UNIQUE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Логин для входа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password_hash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CHAR(64)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Хеш SHA-256 пароля с солью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salt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CHAR(32)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Случайная соль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role_id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Роль пользователя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is_blocked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Признак блокировки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и время регистрации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1.4 – Структура таблицы clients (клиенты)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SERIAL,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клиента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FK, UNIQUE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 клиента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last_name, first_name, patronymic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Фамилия, имя, отчество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birth_date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рождения (для возрастного коэффициента)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passport_no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VARCHAR(20), UNIQUE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 паспорта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phone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Контактный телефон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address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VARCHAR(200)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Адрес проживания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1.5 – Структура таблицы agents (страховые агенты)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SERIAL,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агента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user_id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FK, UNIQUE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Учётная запись агента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last_name, first_name, patronymic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VARCHAR(50)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Фамилия, имя, отчество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position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VARCHAR(60)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Должность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hire_date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приёма на работу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commission_rate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NUMERIC(5,4)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Ставка агентского вознаграждения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1.6 – Структура таблицы insurance_types (виды страхования)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SERIAL,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вида страхования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name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VARCHAR(80), UNIQUE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Наименование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условий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base_rate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NUMERIC(6,4)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Базовый годовой тариф, доля страховой суммы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min_sum, max_sum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Допустимый диапазон страховой суммы, BYN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max_term_months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Максимальный срок страхования, мес.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is_active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BOOLEAN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Доступен ли вид для новых заявок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1.7 – Структура таблицы applications (заявки)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SERIAL,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заявки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client_id, type_id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Клиент и вид страхования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agent_id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FK, NULL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Агент, рассмотревший заявку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requested_sum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Запрошенная страховая сумма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term_months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страхования, мес.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franchise_percent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Франшиза: 0, 1, 2 или 5 %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installments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Число взносов: 1, 2, 4 или 12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object_description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объекта страхования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NEW, APPROVED, REJECTED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decision_comment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Комментарий агента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created_at, decided_at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Даты подачи и рассмотрения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1.8 – Структура таблицы policies (договоры страхования)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SERIAL,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договора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policy_number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VARCHAR(20), UNIQUE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 полиса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application_id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FK, UNIQUE, NULL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Заявка-основание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client_id, agent_id, type_id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Страхователь, агент, вид страхования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insured_sum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Страховая сумма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premium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Страховая премия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franchise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Франшиза в денежном выражении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start_date, end_date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Период действия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WAITING_PAYMENT, ACTIVE, SUSPENDED, EXPIRED, TERMINATED, FULFILLED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created_at, terminated_at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Даты оформления и расторжения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refund_amount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возврата при расторжении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1.9 – Структура таблицы payments (страховые взносы)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policy_id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PK, FK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installment_no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Номер взноса в графике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amount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взноса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due_date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Срок уплаты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paid_date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DATE, NULL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Фактическая дата уплаты</w:t>
            </w:r>
          </w:p>
        </w:tc>
      </w:tr>
    </w:tbl>
    <w:p>
      <w:pPr>
        <w:spacing w:after="120" w:line="240"/>
      </w:pPr>
    </w:p>
    <w:p>
      <w:pPr>
        <w:keepNext/>
        <w:spacing w:after="0" w:before="240" w:line="360" w:lineRule="exact"/>
        <w:ind w:firstLine="0"/>
        <w:jc w:val="left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Таблица 1.10 – Структура таблицы claims (страховые случаи)</w:t>
      </w:r>
    </w:p>
    <w:tbl>
      <w:tblPr>
        <w:tblW w:type="dxa" w:w="935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82"/>
        <w:gridCol w:w="2041"/>
        <w:gridCol w:w="4933"/>
      </w:tblGrid>
      <w:tr>
        <w:trPr>
          <w:cantSplit/>
          <w:tblHeader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Поле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Тип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Назначение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SERIAL, PK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Идентификатор страхового случая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policy_id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Договор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incident_date, report_date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DATE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Даты события и заявления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description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Описание события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damage_amount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Заявленный размер ущерба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status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VARCHAR(20)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REPORTED, APPROVED, REJECTED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payout_amount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NUMERIC(12,2)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Сумма страховой выплаты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agent_id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INTEGER, FK, NULL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Агент, принявший решение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decision_comment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TEXT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Обоснование решения</w:t>
            </w:r>
          </w:p>
        </w:tc>
      </w:tr>
      <w:tr>
        <w:trPr>
          <w:cantSplit/>
          <w:tblHeader w:val="false"/>
        </w:trPr>
        <w:tc>
          <w:tcPr>
            <w:tcW w:type="dxa" w:w="2382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decided_at</w:t>
            </w:r>
          </w:p>
        </w:tc>
        <w:tc>
          <w:tcPr>
            <w:tcW w:type="dxa" w:w="2041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TIMESTAMP</w:t>
            </w:r>
          </w:p>
        </w:tc>
        <w:tc>
          <w:tcPr>
            <w:tcW w:type="dxa" w:w="4933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20"/>
              <w:left w:type="dxa" w:w="80"/>
              <w:bottom w:type="dxa" w:w="20"/>
              <w:right w:type="dxa" w:w="80"/>
            </w:tcMar>
            <w:vAlign w:val="top"/>
          </w:tcPr>
          <w:p>
            <w:pPr>
              <w:spacing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Дата решения</w:t>
            </w:r>
          </w:p>
        </w:tc>
      </w:tr>
    </w:tbl>
    <w:p>
      <w:pPr>
        <w:spacing w:after="120" w:line="240"/>
      </w:pPr>
    </w:p>
    <w:p>
      <w:pPr>
        <w:pStyle w:val="Heading2"/>
        <w:keepNext/>
        <w:keepLines/>
        <w:tabs>
          <w:tab w:val="left" w:pos="1276"/>
        </w:tabs>
        <w:spacing w:after="360" w:before="360" w:line="360" w:lineRule="exact"/>
        <w:ind w:left="1276" w:hanging="567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1.5	UML-модели представления программного средства и их описание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описания программного средства с разных точек зрения построены UML-диаграммы [7]: вариантов использования, состояний, последовательности, классов и развёртывания.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вариантов использования (рисунок 1.6) показывает функции, доступные каждой роли. Абстрактный актёр «Пользователь» обобщает клиента, агента и администратора и связан с вариантом «Авторизация». Варианты «Рассмотрение заявки и оформление полиса» и «Урегулирование страхового случая» включают (include) расчёт стоимости страхования, формирование графика взносов и расчёт страховой выплаты, так как эти операции выполняются автоматически. Выгрузка отчёта в файл расширяет (extend) варианты построения отчётов. Всего программное средство поддерживает семнадцать вариантов использования, из них двенадцать реализуют нетривиальную бизнес-логику.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943600" cy="4819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81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1.6 – Диаграмма вариантов использования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Договор страхования является центральным объектом системы, поэтому для него построена диаграмма состояний (рисунок 1.7). Оформленный договор ожидает оплаты первого взноса и после его внесения начинает действовать. При просрочке очередного взноса договор приостанавливается, а при просрочке более 30 дней расторгается. Действующий договор может быть досрочно расторгнут с возвратом части премии, исполнен при исчерпании страховой суммы выплатами или истечь по окончании срока; истёкший договор может быть продлён.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581650" cy="3714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65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1.7 – Диаграмма состояний договора страхования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последовательности (рисунок 1.8) описывает взаимодействие объектов при оформлении полиса агентом. Клиентское приложение отправляет серверу сериализованный запрос, который обрабатывается в отдельном потоке ClientHandler. После проверки сессии и роли управление передаётся сервису договоров PolicyService, который загружает заявку, проверяет её статус, с помощью PremiumCalculator рассчитывает премию и в одной транзакции сохраняет договор, график взносов и новый статус заявки.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943600" cy="4019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1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1.8 – Диаграмма последовательности оформления полиса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классов (рисунок 1.9) отражает модель данных, общую для клиента и сервера, и классы расчёта страховой премии. Все сущности наследуются от абстрактного сериализуемого класса Entity; клиент и агент имеют общий абстрактный предок Person. Расчёт премии построен на паттерне «Стратегия»: для каждого вида страхования определён класс-наследник AbstractPremiumStrategy с собственным поправочным коэффициентом, а нужная стратегия создаётся фабрикой PremiumStrategyFactory.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5943600" cy="3895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1.9 – Диаграмма классов программного средства</w:t>
      </w:r>
    </w:p>
    <w:p>
      <w:pPr>
        <w:spacing w:after="0" w:before="0" w:line="360" w:lineRule="exact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Диаграмма развёртывания (рисунок 1.10) показывает физическую конфигурацию системы. Клиентское приложение запускается на компьютерах пользователей и взаимодействует с сервером приложений по протоколу TCP/IP. Сервер приложений обращается к СУБД PostgreSQL через JDBC-драйвер. Сервер приложений и сервер базы данных могут располагаться как на разных компьютерах, так и на одном.</w:t>
      </w:r>
    </w:p>
    <w:p>
      <w:pPr>
        <w:keepNext/>
        <w:spacing w:after="120" w:before="240" w:line="240" w:lineRule="auto"/>
        <w:jc w:val="center"/>
      </w:pPr>
      <w:r>
        <w:drawing>
          <wp:inline distT="0" distB="0" distL="0" distR="0">
            <wp:extent cx="4676775" cy="4410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6775" cy="441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4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Рисунок 1.10 – Диаграмма развёртывания</w:t>
      </w:r>
    </w:p>
    <w:p>
      <w:pPr>
        <w:pStyle w:val="Heading1"/>
        <w:keepNext/>
        <w:keepLines/>
        <w:pageBreakBefore/>
        <w:spacing w:after="360" w:before="0" w:line="360" w:lineRule="exact"/>
        <w:ind w:firstLine="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СПИСОК ИСПОЛЬЗОВАННЫХ ИСТОЧНИКОВ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[1] Дипломные проекты (работы). Общие требования : СТП 01-2024. – Минск : БГУИР, 2024.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[2] Гражданский кодекс Республики Беларусь : 7 дек. 1998 г. № 218-З : в ред. Закона Респ. Беларусь. – Глава 48 «Страхование» // Национальный правовой Интернет-портал Республики Беларусь [Электронный ресурс]. – Режим доступа: https://pravo.by. – Дата доступа: 13.10.2026.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[3] О страховой деятельности : Указ Президента Респ. Беларусь от 25 авг. 2006 г. № 530 // Национальный правовой Интернет-портал Республики Беларусь [Электронный ресурс]. – Режим доступа: https://pravo.by. – Дата доступа: 13.10.2026.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[4] Белгосстрах : официальный сайт [Электронный ресурс]. – Режим доступа: https://bgs.by. – Дата доступа: 13.10.2026.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[5] Р 50.1.028–2001. Информационные технологии поддержки жизненного цикла продукции. Методология функционального моделирования. – М. : Госстандарт России, 2001.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[6] IEEE Std 1320.2–1998. IEEE Standard for Conceptual Modeling Language Syntax and Semantics for IDEF1X97 (IDEFobject). – New York : IEEE, 1998.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[7] Фаулер, М. UML. Основы. Краткое руководство по стандартному языку объектного моделирования / М. Фаулер. – 3-е изд. – СПб. : Символ-Плюс, 2004. – 192 с.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[8] Арнольд, К. Язык программирования Java / К. Арнольд, Дж. Гослинг, Д. Холмс. – 3-е изд. – М. : Вильямс, 2001. – 624 с.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[9] Эккель, Б. Философия Java / Б. Эккель. – 4-е изд. – СПб. : Питер, 2011. – 640 с.</w:t>
      </w:r>
    </w:p>
    <w:p>
      <w:pPr>
        <w:spacing w:after="0" w:before="0" w:line="360" w:lineRule="exact"/>
        <w:ind w:firstLine="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[10] PostgreSQL 16 Documentation [Электронный ресурс]. – Режим доступа: https://www.postgresql.org/docs/16/. – Дата доступа: 13.10.2026.</w:t>
      </w:r>
    </w:p>
    <w:sectPr>
      <w:footerReference w:type="default" r:id="rId7"/>
      <w:type w:val="nextPage"/>
      <w:pgSz w:w="11907" w:h="16840" w:orient="portrait"/>
      <w:pgMar w:top="1134" w:right="851" w:bottom="1134" w:left="1701" w:header="708" w:footer="567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 w:lineRule="exac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d92832cb1a5bc3e4434204ca877e7191ec2c8ac.png"/><Relationship Id="rId9" Type="http://schemas.openxmlformats.org/officeDocument/2006/relationships/image" Target="media/12b196015adf37f040cbcc2707557c606a8075eb.png"/><Relationship Id="rId10" Type="http://schemas.openxmlformats.org/officeDocument/2006/relationships/image" Target="media/a44388b8745799dff06dfdc480d99bac3d66ea6c.png"/><Relationship Id="rId11" Type="http://schemas.openxmlformats.org/officeDocument/2006/relationships/image" Target="media/bca1c6b473386c1e25a7859ebfa60c740c31620d.png"/><Relationship Id="rId12" Type="http://schemas.openxmlformats.org/officeDocument/2006/relationships/image" Target="media/6a36bae21aa6610cd0cea6779d48e6686112d08b.png"/><Relationship Id="rId13" Type="http://schemas.openxmlformats.org/officeDocument/2006/relationships/image" Target="media/29173db4913ad1b17a84c6aef936c09e4c95758a.png"/><Relationship Id="rId14" Type="http://schemas.openxmlformats.org/officeDocument/2006/relationships/image" Target="media/91041f5d3c52b7bc731616dbf3c34c0bf007cfda.png"/><Relationship Id="rId15" Type="http://schemas.openxmlformats.org/officeDocument/2006/relationships/image" Target="media/915c0500b1661a5c32cefab69d6c4eb09959e630.png"/><Relationship Id="rId16" Type="http://schemas.openxmlformats.org/officeDocument/2006/relationships/image" Target="media/5ad449039e272faa366e7e763b91bfa50295e928.png"/><Relationship Id="rId17" Type="http://schemas.openxmlformats.org/officeDocument/2006/relationships/image" Target="media/b7218604b9357b054a8394fe7a17ce10f67678a2.png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2026-10-12T21:25:16.235Z</dcterms:created>
  <dcterms:modified xsi:type="dcterms:W3CDTF">2026-10-12T21:25:16.235Z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