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1E8ED" w14:textId="77777777" w:rsidR="00F17C70" w:rsidRDefault="00F17C70" w:rsidP="00F17C70">
      <w:pPr>
        <w:jc w:val="center"/>
        <w:rPr>
          <w:b/>
          <w:bCs/>
        </w:rPr>
      </w:pPr>
      <w:r w:rsidRPr="00F17C70">
        <w:rPr>
          <w:b/>
          <w:bCs/>
        </w:rPr>
        <w:t>Документация по этапу «Формирование чистого бенчмарка, извлечение мета-признаков и обучение мета-модели CVIsel»</w:t>
      </w:r>
    </w:p>
    <w:p w14:paraId="3DC25DFF" w14:textId="77777777" w:rsidR="00F17C70" w:rsidRPr="00F17C70" w:rsidRDefault="00F17C70" w:rsidP="00F17C70">
      <w:pPr>
        <w:jc w:val="center"/>
        <w:rPr>
          <w:b/>
          <w:bCs/>
        </w:rPr>
      </w:pPr>
    </w:p>
    <w:p w14:paraId="19C1A2DE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Введение</w:t>
      </w:r>
    </w:p>
    <w:p w14:paraId="3491DF2A" w14:textId="77777777" w:rsidR="00F17C70" w:rsidRPr="00F17C70" w:rsidRDefault="00F17C70" w:rsidP="00F17C70">
      <w:r w:rsidRPr="00F17C70">
        <w:t>В рамках диссертационного исследования, посвящённого разработке системы автоматического выбора алгоритма кластеризации и сужения пространства его гиперпараметров, первоочередной задачей является создание надёжного корпуса данных для обучения мета-моделей. Надёжность корпуса определяется не только репрезентативностью входящих в него наборов данных, но и степенью их пригодности для внешней валидации кластеризации, которая оценивается с помощью метрики соответствия меток классов реальной кластерной структуре (Cluster</w:t>
      </w:r>
      <w:r w:rsidRPr="00F17C70">
        <w:noBreakHyphen/>
        <w:t>Label Matching, CLM).</w:t>
      </w:r>
    </w:p>
    <w:p w14:paraId="5B2B10CB" w14:textId="07E085F2" w:rsidR="00F17C70" w:rsidRPr="00F17C70" w:rsidRDefault="00F17C70" w:rsidP="00F17C70">
      <w:r w:rsidRPr="00F17C70">
        <w:t>Целью текущего этапа было формирование «чистого» бенчмарка из 96 публично доступных табличных датасетов, их всестороннее признаковое описание (извлечение мета-признаков), определение целевой переменной для задачи выбора внутренней меры качества кластеризации (Cluster Validity Index, CVI) и построение базовой предсказательной модели, которая по вектору мета-признаков рекомендует наилучший CVI. Документация описывает методологию, программную реализацию, полученные результаты и определяет направления дальнейших исследований.</w:t>
      </w:r>
    </w:p>
    <w:p w14:paraId="1E3020FA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Методология</w:t>
      </w:r>
    </w:p>
    <w:p w14:paraId="376DD982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1. Формирование репрезентативного набора данных и CLM-фильтрация</w:t>
      </w:r>
    </w:p>
    <w:p w14:paraId="0C3E1D08" w14:textId="77777777" w:rsidR="00F17C70" w:rsidRPr="00F17C70" w:rsidRDefault="00F17C70" w:rsidP="00F17C70">
      <w:r w:rsidRPr="00F17C70">
        <w:t>В качестве источника данных использован репозиторий hj</w:t>
      </w:r>
      <w:r w:rsidRPr="00F17C70">
        <w:noBreakHyphen/>
        <w:t>n/labeled</w:t>
      </w:r>
      <w:r w:rsidRPr="00F17C70">
        <w:noBreakHyphen/>
        <w:t>datasets, содержащий 96 наборов данных в сжатом бинарном формате. Для каждого набора были загружены матрица признаков и вектор меток классов. Предварительный анализ показал, что в корневой директории compressed/ присутствуют служебные файлы и zip</w:t>
      </w:r>
      <w:r w:rsidRPr="00F17C70">
        <w:noBreakHyphen/>
        <w:t>архивы, не являющиеся датасетами, поэтому была реализована фильтрация: отбирались только подкаталоги, содержащие одновременно data.bin и label.bin. Таким образом, выделено ровно 96 реальных датасетов, что соответствует заявленному авторами.</w:t>
      </w:r>
    </w:p>
    <w:p w14:paraId="45EC765A" w14:textId="77777777" w:rsidR="00F17C70" w:rsidRPr="00F17C70" w:rsidRDefault="00F17C70" w:rsidP="00F17C70">
      <w:r w:rsidRPr="00F17C70">
        <w:t>Для каждого набора данных была рассчитана CLM</w:t>
      </w:r>
      <w:r w:rsidRPr="00F17C70">
        <w:noBreakHyphen/>
        <w:t>оценка с помощью скорректированного индекса Калински–Харабаза (Adjusted Calinski–Harabasz Index, CH</w:t>
      </w:r>
      <w:r w:rsidRPr="00F17C70">
        <w:rPr>
          <w:rFonts w:ascii="Arial" w:hAnsi="Arial" w:cs="Arial"/>
        </w:rPr>
        <w:t>ₐ</w:t>
      </w:r>
      <w:r w:rsidRPr="00F17C70">
        <w:t xml:space="preserve">), </w:t>
      </w:r>
      <w:r w:rsidRPr="00F17C70">
        <w:rPr>
          <w:rFonts w:ascii="Aptos" w:hAnsi="Aptos" w:cs="Aptos"/>
        </w:rPr>
        <w:t>значения</w:t>
      </w:r>
      <w:r w:rsidRPr="00F17C70">
        <w:t xml:space="preserve"> </w:t>
      </w:r>
      <w:r w:rsidRPr="00F17C70">
        <w:rPr>
          <w:rFonts w:ascii="Aptos" w:hAnsi="Aptos" w:cs="Aptos"/>
        </w:rPr>
        <w:t>которого</w:t>
      </w:r>
      <w:r w:rsidRPr="00F17C70">
        <w:t xml:space="preserve"> </w:t>
      </w:r>
      <w:r w:rsidRPr="00F17C70">
        <w:rPr>
          <w:rFonts w:ascii="Aptos" w:hAnsi="Aptos" w:cs="Aptos"/>
        </w:rPr>
        <w:t>были</w:t>
      </w:r>
      <w:r w:rsidRPr="00F17C70">
        <w:t xml:space="preserve"> </w:t>
      </w:r>
      <w:r w:rsidRPr="00F17C70">
        <w:rPr>
          <w:rFonts w:ascii="Aptos" w:hAnsi="Aptos" w:cs="Aptos"/>
        </w:rPr>
        <w:t>ранее</w:t>
      </w:r>
      <w:r w:rsidRPr="00F17C70">
        <w:t xml:space="preserve"> </w:t>
      </w:r>
      <w:r w:rsidRPr="00F17C70">
        <w:rPr>
          <w:rFonts w:ascii="Aptos" w:hAnsi="Aptos" w:cs="Aptos"/>
        </w:rPr>
        <w:t>опубликованы</w:t>
      </w:r>
      <w:r w:rsidRPr="00F17C70">
        <w:t xml:space="preserve"> </w:t>
      </w:r>
      <w:r w:rsidRPr="00F17C70">
        <w:rPr>
          <w:rFonts w:ascii="Aptos" w:hAnsi="Aptos" w:cs="Aptos"/>
        </w:rPr>
        <w:t>авторами</w:t>
      </w:r>
      <w:r w:rsidRPr="00F17C70">
        <w:t xml:space="preserve"> </w:t>
      </w:r>
      <w:r w:rsidRPr="00F17C70">
        <w:rPr>
          <w:rFonts w:ascii="Aptos" w:hAnsi="Aptos" w:cs="Aptos"/>
        </w:rPr>
        <w:t>репозитория</w:t>
      </w:r>
      <w:r w:rsidRPr="00F17C70">
        <w:t xml:space="preserve">. </w:t>
      </w:r>
      <w:r w:rsidRPr="00F17C70">
        <w:rPr>
          <w:rFonts w:ascii="Aptos" w:hAnsi="Aptos" w:cs="Aptos"/>
        </w:rPr>
        <w:t>Все</w:t>
      </w:r>
      <w:r w:rsidRPr="00F17C70">
        <w:t xml:space="preserve"> </w:t>
      </w:r>
      <w:r w:rsidRPr="00F17C70">
        <w:rPr>
          <w:rFonts w:ascii="Aptos" w:hAnsi="Aptos" w:cs="Aptos"/>
        </w:rPr>
        <w:t>датасеты</w:t>
      </w:r>
      <w:r w:rsidRPr="00F17C70">
        <w:t xml:space="preserve"> </w:t>
      </w:r>
      <w:r w:rsidRPr="00F17C70">
        <w:rPr>
          <w:rFonts w:ascii="Aptos" w:hAnsi="Aptos" w:cs="Aptos"/>
        </w:rPr>
        <w:t>были</w:t>
      </w:r>
      <w:r w:rsidRPr="00F17C70">
        <w:t xml:space="preserve"> </w:t>
      </w:r>
      <w:r w:rsidRPr="00F17C70">
        <w:rPr>
          <w:rFonts w:ascii="Aptos" w:hAnsi="Aptos" w:cs="Aptos"/>
        </w:rPr>
        <w:t>отсортированы</w:t>
      </w:r>
      <w:r w:rsidRPr="00F17C70">
        <w:t xml:space="preserve"> </w:t>
      </w:r>
      <w:r w:rsidRPr="00F17C70">
        <w:rPr>
          <w:rFonts w:ascii="Aptos" w:hAnsi="Aptos" w:cs="Aptos"/>
        </w:rPr>
        <w:t>по</w:t>
      </w:r>
      <w:r w:rsidRPr="00F17C70">
        <w:t xml:space="preserve"> </w:t>
      </w:r>
      <w:r w:rsidRPr="00F17C70">
        <w:rPr>
          <w:rFonts w:ascii="Aptos" w:hAnsi="Aptos" w:cs="Aptos"/>
        </w:rPr>
        <w:t>убыванию</w:t>
      </w:r>
      <w:r w:rsidRPr="00F17C70">
        <w:t xml:space="preserve"> CLM </w:t>
      </w:r>
      <w:r w:rsidRPr="00F17C70">
        <w:rPr>
          <w:rFonts w:ascii="Aptos" w:hAnsi="Aptos" w:cs="Aptos"/>
        </w:rPr>
        <w:t>и</w:t>
      </w:r>
      <w:r w:rsidRPr="00F17C70">
        <w:t xml:space="preserve"> </w:t>
      </w:r>
      <w:r w:rsidRPr="00F17C70">
        <w:rPr>
          <w:rFonts w:ascii="Aptos" w:hAnsi="Aptos" w:cs="Aptos"/>
        </w:rPr>
        <w:t>разделены</w:t>
      </w:r>
      <w:r w:rsidRPr="00F17C70">
        <w:t xml:space="preserve"> </w:t>
      </w:r>
      <w:r w:rsidRPr="00F17C70">
        <w:rPr>
          <w:rFonts w:ascii="Aptos" w:hAnsi="Aptos" w:cs="Aptos"/>
        </w:rPr>
        <w:t>на</w:t>
      </w:r>
      <w:r w:rsidRPr="00F17C70">
        <w:t xml:space="preserve"> </w:t>
      </w:r>
      <w:r w:rsidRPr="00F17C70">
        <w:rPr>
          <w:rFonts w:ascii="Aptos" w:hAnsi="Aptos" w:cs="Aptos"/>
        </w:rPr>
        <w:t>три</w:t>
      </w:r>
      <w:r w:rsidRPr="00F17C70">
        <w:t xml:space="preserve"> </w:t>
      </w:r>
      <w:r w:rsidRPr="00F17C70">
        <w:rPr>
          <w:rFonts w:ascii="Aptos" w:hAnsi="Aptos" w:cs="Aptos"/>
        </w:rPr>
        <w:t>равные</w:t>
      </w:r>
      <w:r w:rsidRPr="00F17C70">
        <w:t xml:space="preserve"> </w:t>
      </w:r>
      <w:r w:rsidRPr="00F17C70">
        <w:rPr>
          <w:rFonts w:ascii="Aptos" w:hAnsi="Aptos" w:cs="Aptos"/>
        </w:rPr>
        <w:t>части</w:t>
      </w:r>
      <w:r w:rsidRPr="00F17C70">
        <w:t xml:space="preserve"> (</w:t>
      </w:r>
      <w:r w:rsidRPr="00F17C70">
        <w:rPr>
          <w:rFonts w:ascii="Aptos" w:hAnsi="Aptos" w:cs="Aptos"/>
        </w:rPr>
        <w:t>терцили</w:t>
      </w:r>
      <w:r w:rsidRPr="00F17C70">
        <w:t xml:space="preserve">): </w:t>
      </w:r>
      <w:r w:rsidRPr="00F17C70">
        <w:rPr>
          <w:rFonts w:ascii="Aptos" w:hAnsi="Aptos" w:cs="Aptos"/>
        </w:rPr>
        <w:t>верхний</w:t>
      </w:r>
      <w:r w:rsidRPr="00F17C70">
        <w:t xml:space="preserve"> </w:t>
      </w:r>
      <w:r w:rsidRPr="00F17C70">
        <w:rPr>
          <w:rFonts w:ascii="Aptos" w:hAnsi="Aptos" w:cs="Aptos"/>
        </w:rPr>
        <w:t>терциль</w:t>
      </w:r>
      <w:r w:rsidRPr="00F17C70">
        <w:t xml:space="preserve"> (CLM </w:t>
      </w:r>
      <w:r w:rsidRPr="00F17C70">
        <w:rPr>
          <w:rFonts w:ascii="Aptos" w:hAnsi="Aptos" w:cs="Aptos"/>
        </w:rPr>
        <w:t>≥</w:t>
      </w:r>
      <w:r w:rsidRPr="00F17C70">
        <w:t xml:space="preserve"> 0.51, 32 </w:t>
      </w:r>
      <w:r w:rsidRPr="00F17C70">
        <w:rPr>
          <w:rFonts w:ascii="Aptos" w:hAnsi="Aptos" w:cs="Aptos"/>
        </w:rPr>
        <w:t>датасета</w:t>
      </w:r>
      <w:r w:rsidRPr="00F17C70">
        <w:t xml:space="preserve">) </w:t>
      </w:r>
      <w:r w:rsidRPr="00F17C70">
        <w:rPr>
          <w:rFonts w:ascii="Aptos" w:hAnsi="Aptos" w:cs="Aptos"/>
        </w:rPr>
        <w:t>принят</w:t>
      </w:r>
      <w:r w:rsidRPr="00F17C70">
        <w:t xml:space="preserve"> </w:t>
      </w:r>
      <w:r w:rsidRPr="00F17C70">
        <w:rPr>
          <w:rFonts w:ascii="Aptos" w:hAnsi="Aptos" w:cs="Aptos"/>
        </w:rPr>
        <w:t>в</w:t>
      </w:r>
      <w:r w:rsidRPr="00F17C70">
        <w:t xml:space="preserve"> </w:t>
      </w:r>
      <w:r w:rsidRPr="00F17C70">
        <w:rPr>
          <w:rFonts w:ascii="Aptos" w:hAnsi="Aptos" w:cs="Aptos"/>
        </w:rPr>
        <w:t>качестве</w:t>
      </w:r>
      <w:r w:rsidRPr="00F17C70">
        <w:t xml:space="preserve"> </w:t>
      </w:r>
      <w:r w:rsidRPr="00F17C70">
        <w:rPr>
          <w:rFonts w:ascii="Aptos" w:hAnsi="Aptos" w:cs="Aptos"/>
        </w:rPr>
        <w:t>обучающей</w:t>
      </w:r>
      <w:r w:rsidRPr="00F17C70">
        <w:t xml:space="preserve"> </w:t>
      </w:r>
      <w:r w:rsidRPr="00F17C70">
        <w:rPr>
          <w:rFonts w:ascii="Aptos" w:hAnsi="Aptos" w:cs="Aptos"/>
        </w:rPr>
        <w:t>выборки</w:t>
      </w:r>
      <w:r w:rsidRPr="00F17C70">
        <w:t xml:space="preserve"> (train), </w:t>
      </w:r>
      <w:r w:rsidRPr="00F17C70">
        <w:rPr>
          <w:rFonts w:ascii="Aptos" w:hAnsi="Aptos" w:cs="Aptos"/>
        </w:rPr>
        <w:t>средний</w:t>
      </w:r>
      <w:r w:rsidRPr="00F17C70">
        <w:t xml:space="preserve"> </w:t>
      </w:r>
      <w:r w:rsidRPr="00F17C70">
        <w:rPr>
          <w:rFonts w:ascii="Aptos" w:hAnsi="Aptos" w:cs="Aptos"/>
        </w:rPr>
        <w:t>терциль</w:t>
      </w:r>
      <w:r w:rsidRPr="00F17C70">
        <w:t xml:space="preserve"> (32 </w:t>
      </w:r>
      <w:r w:rsidRPr="00F17C70">
        <w:rPr>
          <w:rFonts w:ascii="Aptos" w:hAnsi="Aptos" w:cs="Aptos"/>
        </w:rPr>
        <w:t>датасета</w:t>
      </w:r>
      <w:r w:rsidRPr="00F17C70">
        <w:t xml:space="preserve">) </w:t>
      </w:r>
      <w:r w:rsidRPr="00F17C70">
        <w:rPr>
          <w:rFonts w:ascii="Aptos" w:hAnsi="Aptos" w:cs="Aptos"/>
        </w:rPr>
        <w:t>—</w:t>
      </w:r>
      <w:r w:rsidRPr="00F17C70">
        <w:t xml:space="preserve"> </w:t>
      </w:r>
      <w:r w:rsidRPr="00F17C70">
        <w:rPr>
          <w:rFonts w:ascii="Aptos" w:hAnsi="Aptos" w:cs="Aptos"/>
        </w:rPr>
        <w:t>валидационной</w:t>
      </w:r>
      <w:r w:rsidRPr="00F17C70">
        <w:t xml:space="preserve"> (val), </w:t>
      </w:r>
      <w:r w:rsidRPr="00F17C70">
        <w:rPr>
          <w:rFonts w:ascii="Aptos" w:hAnsi="Aptos" w:cs="Aptos"/>
        </w:rPr>
        <w:t>нижний</w:t>
      </w:r>
      <w:r w:rsidRPr="00F17C70">
        <w:t xml:space="preserve"> </w:t>
      </w:r>
      <w:r w:rsidRPr="00F17C70">
        <w:rPr>
          <w:rFonts w:ascii="Aptos" w:hAnsi="Aptos" w:cs="Aptos"/>
        </w:rPr>
        <w:t>терциль</w:t>
      </w:r>
      <w:r w:rsidRPr="00F17C70">
        <w:t xml:space="preserve"> (20 </w:t>
      </w:r>
      <w:r w:rsidRPr="00F17C70">
        <w:rPr>
          <w:rFonts w:ascii="Aptos" w:hAnsi="Aptos" w:cs="Aptos"/>
        </w:rPr>
        <w:t>датасетов</w:t>
      </w:r>
      <w:r w:rsidRPr="00F17C70">
        <w:t xml:space="preserve"> </w:t>
      </w:r>
      <w:r w:rsidRPr="00F17C70">
        <w:rPr>
          <w:rFonts w:ascii="Aptos" w:hAnsi="Aptos" w:cs="Aptos"/>
        </w:rPr>
        <w:t>с</w:t>
      </w:r>
      <w:r w:rsidRPr="00F17C70">
        <w:t xml:space="preserve"> </w:t>
      </w:r>
      <w:r w:rsidRPr="00F17C70">
        <w:rPr>
          <w:rFonts w:ascii="Aptos" w:hAnsi="Aptos" w:cs="Aptos"/>
        </w:rPr>
        <w:t>наиболее</w:t>
      </w:r>
      <w:r w:rsidRPr="00F17C70">
        <w:t xml:space="preserve"> </w:t>
      </w:r>
      <w:r w:rsidRPr="00F17C70">
        <w:rPr>
          <w:rFonts w:ascii="Aptos" w:hAnsi="Aptos" w:cs="Aptos"/>
        </w:rPr>
        <w:t>низким</w:t>
      </w:r>
      <w:r w:rsidRPr="00F17C70">
        <w:t xml:space="preserve"> CLM, </w:t>
      </w:r>
      <w:r w:rsidRPr="00F17C70">
        <w:rPr>
          <w:rFonts w:ascii="Aptos" w:hAnsi="Aptos" w:cs="Aptos"/>
        </w:rPr>
        <w:t>вплоть</w:t>
      </w:r>
      <w:r w:rsidRPr="00F17C70">
        <w:t xml:space="preserve"> </w:t>
      </w:r>
      <w:r w:rsidRPr="00F17C70">
        <w:rPr>
          <w:rFonts w:ascii="Aptos" w:hAnsi="Aptos" w:cs="Aptos"/>
        </w:rPr>
        <w:t>до</w:t>
      </w:r>
      <w:r w:rsidRPr="00F17C70">
        <w:t xml:space="preserve"> 0) </w:t>
      </w:r>
      <w:r w:rsidRPr="00F17C70">
        <w:rPr>
          <w:rFonts w:ascii="Aptos" w:hAnsi="Aptos" w:cs="Aptos"/>
        </w:rPr>
        <w:t>—</w:t>
      </w:r>
      <w:r w:rsidRPr="00F17C70">
        <w:t xml:space="preserve"> </w:t>
      </w:r>
      <w:r w:rsidRPr="00F17C70">
        <w:rPr>
          <w:rFonts w:ascii="Aptos" w:hAnsi="Aptos" w:cs="Aptos"/>
        </w:rPr>
        <w:t>т</w:t>
      </w:r>
      <w:r w:rsidRPr="00F17C70">
        <w:t>естовой (test). Такой подход полностью согласуется с рекомендациями оригинальной работы Jeon et al. (2025), в которой показано, что только наборы с высоким CLM обеспечивают стабильное ранжирование алгоритмов кластеризации.</w:t>
      </w:r>
    </w:p>
    <w:p w14:paraId="1B852840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lastRenderedPageBreak/>
        <w:t>2. Извлечение мета-признаков</w:t>
      </w:r>
    </w:p>
    <w:p w14:paraId="5E65D2A6" w14:textId="77777777" w:rsidR="00F17C70" w:rsidRPr="00F17C70" w:rsidRDefault="00F17C70" w:rsidP="00F17C70">
      <w:r w:rsidRPr="00F17C70">
        <w:t>Процедура признакового описания каждого датасета включала три группы мета-признаков, сформированных в соответствии с концепцией исследования. Исходные данные предварительно очищались: удалялись признаки с нулевой дисперсией, пропуски заполнялись медианными значениями по столбцам.</w:t>
      </w:r>
    </w:p>
    <w:p w14:paraId="034F1B60" w14:textId="77777777" w:rsidR="00F17C70" w:rsidRPr="00F17C70" w:rsidRDefault="00F17C70" w:rsidP="00F17C70">
      <w:pPr>
        <w:numPr>
          <w:ilvl w:val="0"/>
          <w:numId w:val="1"/>
        </w:numPr>
      </w:pPr>
      <w:r w:rsidRPr="00F17C70">
        <w:rPr>
          <w:b/>
          <w:bCs/>
        </w:rPr>
        <w:t>Статистические признаки</w:t>
      </w:r>
      <w:r w:rsidRPr="00F17C70">
        <w:t>: число объектов (n_samples), число признаков (n_features), отношение n_samples/n_features, среднее арифметическое и стандартное отклонение по всей матрице, коэффициенты асимметрии и эксцесса, дисперсия, а также первые пять собственных значений PCA и их сумма. Вычисления были ускорены с использованием GPU (PyTorch) за счёт переноса массивов на видеокарту и применения функций torch.mean, torch.std и torch.pca_lowrank.</w:t>
      </w:r>
    </w:p>
    <w:p w14:paraId="0CD9E907" w14:textId="77777777" w:rsidR="00F17C70" w:rsidRPr="00F17C70" w:rsidRDefault="00F17C70" w:rsidP="00F17C70">
      <w:pPr>
        <w:numPr>
          <w:ilvl w:val="0"/>
          <w:numId w:val="1"/>
        </w:numPr>
      </w:pPr>
      <w:r w:rsidRPr="00F17C70">
        <w:rPr>
          <w:b/>
          <w:bCs/>
        </w:rPr>
        <w:t>Информационно-теоретические признаки</w:t>
      </w:r>
      <w:r w:rsidRPr="00F17C70">
        <w:t>: энтропия распределения значений (дискретизация на 20 бинов) и усреднённая взаимная информация между парами признаков. Для сокращения вычислительных затрат взаимная информация оценивалась по случайной выборке из 100 пар признаков, что позволило сохранить линейную сложность по числу признаков.</w:t>
      </w:r>
    </w:p>
    <w:p w14:paraId="1ECD5909" w14:textId="77777777" w:rsidR="00F17C70" w:rsidRPr="00F17C70" w:rsidRDefault="00F17C70" w:rsidP="00F17C70">
      <w:pPr>
        <w:numPr>
          <w:ilvl w:val="0"/>
          <w:numId w:val="1"/>
        </w:numPr>
      </w:pPr>
      <w:r w:rsidRPr="00F17C70">
        <w:rPr>
          <w:b/>
          <w:bCs/>
        </w:rPr>
        <w:t>Топологические признаки</w:t>
      </w:r>
      <w:r w:rsidRPr="00F17C70">
        <w:t>: на основе персистентных гомологий, построенных по подвыборке из 200 точек с использованием библиотеки Ripser. Для размерностей 0 и 1 вычислялись числа Бетти и персистентная энтропия, характеризующая «жизненный цикл» топологических свойств.</w:t>
      </w:r>
    </w:p>
    <w:p w14:paraId="46DD6E2D" w14:textId="77777777" w:rsidR="00F17C70" w:rsidRPr="00F17C70" w:rsidRDefault="00F17C70" w:rsidP="00F17C70">
      <w:r w:rsidRPr="00F17C70">
        <w:t>Общее время извлечения признаков для всех трёх подмножеств (96 датасетов) при использовании двух параллельных потоков и GPU-ускорения составило менее 3 минут, что подтверждает эффективность предложенной реализации.</w:t>
      </w:r>
    </w:p>
    <w:p w14:paraId="37D87C9E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3. Определение целевых меток (предпочтительная CVI)</w:t>
      </w:r>
    </w:p>
    <w:p w14:paraId="0731877A" w14:textId="77777777" w:rsidR="00F17C70" w:rsidRPr="00F17C70" w:rsidRDefault="00F17C70" w:rsidP="00F17C70">
      <w:r w:rsidRPr="00F17C70">
        <w:t>Для каждого датасета из обучающей выборки была определена наилучшая внутренняя мера качества кластеризации на основе корреляции Спирмена с внешним индексом Adjusted Rand Index (ARI). Генерировался набор разбиений с помощью алгоритмов K</w:t>
      </w:r>
      <w:r w:rsidRPr="00F17C70">
        <w:noBreakHyphen/>
        <w:t>Means (с различным числом кластеров) и иерархической агломеративной кластеризации (с тремя стратегиями связывания: Ward, complete, average). Для каждого разбиения вычислялись три CVI: Silhouette, Calinski</w:t>
      </w:r>
      <w:r w:rsidRPr="00F17C70">
        <w:noBreakHyphen/>
        <w:t>Harabasz, Davies</w:t>
      </w:r>
      <w:r w:rsidRPr="00F17C70">
        <w:noBreakHyphen/>
        <w:t>Bouldin (последний инвертирован, так как является убывающей мерой). Затем выбирался тот CVI, чей коэффициент корреляции Спирмена с ARI оказался максимальным. В результате распределение лучших CVI выглядело следующим образом: Calinski</w:t>
      </w:r>
      <w:r w:rsidRPr="00F17C70">
        <w:noBreakHyphen/>
        <w:t>Harabasz — 26 датасетов, Silhouette — 6; мера Davies</w:t>
      </w:r>
      <w:r w:rsidRPr="00F17C70">
        <w:noBreakHyphen/>
        <w:t>Bouldin не была выбрана ни разу. Этот результат свидетельствует о том, что на «чистых» с точки зрения CLM данных восходящие меры (особенно Calinski</w:t>
      </w:r>
      <w:r w:rsidRPr="00F17C70">
        <w:noBreakHyphen/>
        <w:t>Harabasz) лучше согласуются с внешним критерием качества.</w:t>
      </w:r>
    </w:p>
    <w:p w14:paraId="12271124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4. Обучение мета-модели CVIsel</w:t>
      </w:r>
    </w:p>
    <w:p w14:paraId="7FC93FEE" w14:textId="77777777" w:rsidR="00F17C70" w:rsidRPr="00F17C70" w:rsidRDefault="00F17C70" w:rsidP="00F17C70">
      <w:r w:rsidRPr="00F17C70">
        <w:lastRenderedPageBreak/>
        <w:t>На основе полученных мета-признаков и целевых меток была обучена предсказательная модель выбора CVI (CVIsel). Для ускорения и повышения точности был реализован расширенный пайплайн, включающий сравнение трёх классификаторов: Random Forest, XGBoost (с поддержкой GPU) и Logistic Regression. Для объективной оценки качества использовалась кросс-валидация на обучающей выборке с разделением 75/25, а также дополнительные тесты на валидационной и тестовой выборках.</w:t>
      </w:r>
    </w:p>
    <w:p w14:paraId="66A693F5" w14:textId="0A9E3BCE" w:rsidR="00F17C70" w:rsidRPr="00F17C70" w:rsidRDefault="00F17C70" w:rsidP="00F17C70">
      <w:r w:rsidRPr="00F17C70">
        <w:t>Наилучшие результаты показал Random Forest (точность</w:t>
      </w:r>
      <w:r>
        <w:t xml:space="preserve"> 88</w:t>
      </w:r>
      <w:r w:rsidRPr="00F17C70">
        <w:t>%, F1</w:t>
      </w:r>
      <w:r w:rsidRPr="00F17C70">
        <w:noBreakHyphen/>
        <w:t>взвешенная 0.75). XGBoost и логистическая регрессия продемонстрировали сравнимые, но несколько худшие метрики. Визуализация кривой обучения выявила, что точность стабилизируется после 20 обучающих примеров, при этом вариативность остаётся умеренной, что говорит о достаточности размера выборки. Анализ важности признаков показал, что наибольший вклад вносят топологические признаки (числа Бетти, персистентная энтропия) и информационные (энтропия), в то время как простые статистики (среднее, дисперсия) оказались менее значимыми. Этот результат подтверждает гипотезу о ценности топологического анализа для описания кластерной структуры данных.</w:t>
      </w:r>
    </w:p>
    <w:p w14:paraId="1F86F9A5" w14:textId="77777777" w:rsidR="00F17C70" w:rsidRPr="00F17C70" w:rsidRDefault="00F17C70" w:rsidP="00F17C70">
      <w:r w:rsidRPr="00F17C70">
        <w:t>Визуализация t</w:t>
      </w:r>
      <w:r w:rsidRPr="00F17C70">
        <w:noBreakHyphen/>
        <w:t>SNE проекции мета-признаков продемонстрировала частичную разделимость классов, однако классы Silhouette и Calinski</w:t>
      </w:r>
      <w:r w:rsidRPr="00F17C70">
        <w:noBreakHyphen/>
        <w:t>Harabasz образуют перекрывающиеся области, что объясняет наличие ошибок классификации.</w:t>
      </w:r>
    </w:p>
    <w:p w14:paraId="1823E80A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Результаты</w:t>
      </w:r>
    </w:p>
    <w:p w14:paraId="34898AD8" w14:textId="77777777" w:rsidR="00F17C70" w:rsidRPr="00F17C70" w:rsidRDefault="00F17C70" w:rsidP="00F17C70">
      <w:r w:rsidRPr="00F17C70">
        <w:t>В результате выполнения этапа были получены следующие артефакты:</w:t>
      </w:r>
    </w:p>
    <w:p w14:paraId="1BA057B0" w14:textId="77777777" w:rsidR="00F17C70" w:rsidRPr="00F17C70" w:rsidRDefault="00F17C70" w:rsidP="00F17C70">
      <w:pPr>
        <w:numPr>
          <w:ilvl w:val="0"/>
          <w:numId w:val="2"/>
        </w:numPr>
      </w:pPr>
      <w:r w:rsidRPr="00F17C70">
        <w:t>Интегрированный набор мета-признаков (meta_features.csv) для 96 датасетов, включающий CLM</w:t>
      </w:r>
      <w:r w:rsidRPr="00F17C70">
        <w:noBreakHyphen/>
        <w:t>оценки, целевые метки для обучающей выборки и предсказанные CVI для валидационной и тестовой выборок.</w:t>
      </w:r>
    </w:p>
    <w:p w14:paraId="7150BEE5" w14:textId="77777777" w:rsidR="00F17C70" w:rsidRPr="00F17C70" w:rsidRDefault="00F17C70" w:rsidP="00F17C70">
      <w:pPr>
        <w:numPr>
          <w:ilvl w:val="0"/>
          <w:numId w:val="2"/>
        </w:numPr>
      </w:pPr>
      <w:r w:rsidRPr="00F17C70">
        <w:t>Обученная модель CVIsel (Random Forest), сохраняемая вместе со скриптами для воспроизводимости.</w:t>
      </w:r>
    </w:p>
    <w:p w14:paraId="41B84DBA" w14:textId="77777777" w:rsidR="00F17C70" w:rsidRPr="00F17C70" w:rsidRDefault="00F17C70" w:rsidP="00F17C70">
      <w:pPr>
        <w:numPr>
          <w:ilvl w:val="0"/>
          <w:numId w:val="2"/>
        </w:numPr>
      </w:pPr>
      <w:r w:rsidRPr="00F17C70">
        <w:t>Расширенные визуализации (кривые обучения, матрица ошибок, важность признаков, t</w:t>
      </w:r>
      <w:r w:rsidRPr="00F17C70">
        <w:noBreakHyphen/>
        <w:t>SNE проекция), которые будут включены в диссертацию и научные публикации.</w:t>
      </w:r>
    </w:p>
    <w:p w14:paraId="568AC032" w14:textId="77777777" w:rsidR="00F17C70" w:rsidRPr="00F17C70" w:rsidRDefault="00F17C70" w:rsidP="00F17C70">
      <w:pPr>
        <w:numPr>
          <w:ilvl w:val="0"/>
          <w:numId w:val="2"/>
        </w:numPr>
      </w:pPr>
      <w:r w:rsidRPr="00F17C70">
        <w:t>Программный модуль на Python для ускоренного извлечения мета-признаков с использованием GPU, готовый к интеграции в итоговую систему.</w:t>
      </w:r>
    </w:p>
    <w:p w14:paraId="23FC2006" w14:textId="3D5ABA47" w:rsidR="00F17C70" w:rsidRPr="00F17C70" w:rsidRDefault="00F17C70" w:rsidP="00F17C70">
      <w:r w:rsidRPr="00F17C70">
        <w:t>Полученная точность является пилотным результатом, который может быть улучшен путём расширения признакового пространства (добавление поколоночных характеристик, предложенных в скрипте extract_table_metadata.py) и увеличения объёма обучающей выборки за счёт синтетических датасетов.</w:t>
      </w:r>
    </w:p>
    <w:p w14:paraId="1A654233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Дальнейшие шаги</w:t>
      </w:r>
    </w:p>
    <w:p w14:paraId="39A964F6" w14:textId="77777777" w:rsidR="00F17C70" w:rsidRPr="00F17C70" w:rsidRDefault="00F17C70" w:rsidP="00F17C70">
      <w:r w:rsidRPr="00F17C70">
        <w:lastRenderedPageBreak/>
        <w:t>В соответствии с дорожной картой проекта (Спринты №3–№8) дальнейшая работа будет включать:</w:t>
      </w:r>
    </w:p>
    <w:p w14:paraId="32930151" w14:textId="77777777" w:rsidR="00F17C70" w:rsidRPr="00F17C70" w:rsidRDefault="00F17C70" w:rsidP="00F17C70">
      <w:pPr>
        <w:numPr>
          <w:ilvl w:val="0"/>
          <w:numId w:val="3"/>
        </w:numPr>
      </w:pPr>
      <w:r w:rsidRPr="00F17C70">
        <w:t>Архитектура TPOT</w:t>
      </w:r>
      <w:r w:rsidRPr="00F17C70">
        <w:noBreakHyphen/>
        <w:t>Clustering (эволюционный синтез пайплайнов) — разработка модуля, использующего генетическое программирование для автоматического конструирования полного конвейера кластеризации (включая отбор признаков, алгоритм и гиперпараметры).</w:t>
      </w:r>
    </w:p>
    <w:p w14:paraId="4CA652FF" w14:textId="77777777" w:rsidR="00F17C70" w:rsidRPr="00F17C70" w:rsidRDefault="00F17C70" w:rsidP="00F17C70">
      <w:pPr>
        <w:numPr>
          <w:ilvl w:val="0"/>
          <w:numId w:val="3"/>
        </w:numPr>
      </w:pPr>
      <w:r w:rsidRPr="00F17C70">
        <w:t>Оптимизация расчёта CVI — реализация инкрементальных алгоритмов пересчёта внутренних мер со сложностью O(n) вместо O(n²), что необходимо для эффективной работы эволюционных методов.</w:t>
      </w:r>
    </w:p>
    <w:p w14:paraId="23CAE0EC" w14:textId="77777777" w:rsidR="00F17C70" w:rsidRPr="00F17C70" w:rsidRDefault="00F17C70" w:rsidP="00F17C70">
      <w:pPr>
        <w:numPr>
          <w:ilvl w:val="0"/>
          <w:numId w:val="3"/>
        </w:numPr>
      </w:pPr>
      <w:r w:rsidRPr="00F17C70">
        <w:t>Интеллектуальный агент CASH (Combined Algorithm Selection and Hyperparameter optimization) на основе многоруких бандитов, обеспечивающий динамическое распределение временного бюджета между алгоритмами.</w:t>
      </w:r>
    </w:p>
    <w:p w14:paraId="392380DF" w14:textId="77777777" w:rsidR="00F17C70" w:rsidRPr="00F17C70" w:rsidRDefault="00F17C70" w:rsidP="00F17C70">
      <w:pPr>
        <w:numPr>
          <w:ilvl w:val="0"/>
          <w:numId w:val="3"/>
        </w:numPr>
      </w:pPr>
      <w:r w:rsidRPr="00F17C70">
        <w:t>Внедрение Learning</w:t>
      </w:r>
      <w:r w:rsidRPr="00F17C70">
        <w:noBreakHyphen/>
        <w:t>to</w:t>
      </w:r>
      <w:r w:rsidRPr="00F17C70">
        <w:noBreakHyphen/>
        <w:t>Rank — замена классификации на ранжирование алгоритмов, что позволит выдавать упорядоченный список рекомендаций.</w:t>
      </w:r>
    </w:p>
    <w:p w14:paraId="2213BB43" w14:textId="77777777" w:rsidR="00F17C70" w:rsidRPr="00F17C70" w:rsidRDefault="00F17C70" w:rsidP="00F17C70">
      <w:pPr>
        <w:numPr>
          <w:ilvl w:val="0"/>
          <w:numId w:val="3"/>
        </w:numPr>
      </w:pPr>
      <w:r w:rsidRPr="00F17C70">
        <w:t>Explainable AI (XAI) — применение SHAP</w:t>
      </w:r>
      <w:r w:rsidRPr="00F17C70">
        <w:noBreakHyphen/>
        <w:t>анализа для интерпретации решений системы и повышения доверия к её рекомендациям.</w:t>
      </w:r>
    </w:p>
    <w:p w14:paraId="6A03C16B" w14:textId="77777777" w:rsidR="00F17C70" w:rsidRPr="00F17C70" w:rsidRDefault="00F17C70" w:rsidP="00F17C70">
      <w:pPr>
        <w:numPr>
          <w:ilvl w:val="0"/>
          <w:numId w:val="3"/>
        </w:numPr>
      </w:pPr>
      <w:r w:rsidRPr="00F17C70">
        <w:t>Контейнеризация и логирование — упаковка всех компонентов в Docker</w:t>
      </w:r>
      <w:r w:rsidRPr="00F17C70">
        <w:noBreakHyphen/>
        <w:t>контейнеры и организация мониторинга экспериментов с помощью MLflow.</w:t>
      </w:r>
    </w:p>
    <w:p w14:paraId="2D201C09" w14:textId="77777777" w:rsidR="00F17C70" w:rsidRPr="00F17C70" w:rsidRDefault="00F17C70" w:rsidP="00F17C70">
      <w:pPr>
        <w:numPr>
          <w:ilvl w:val="0"/>
          <w:numId w:val="3"/>
        </w:numPr>
      </w:pPr>
      <w:r w:rsidRPr="00F17C70">
        <w:t>Финальный рефакторинг и тестирование на прикладных доменах (биоинформатика, анализ текстов) для демонстрации практической ценности разработки.</w:t>
      </w:r>
    </w:p>
    <w:p w14:paraId="43E049E7" w14:textId="77777777" w:rsidR="00F17C70" w:rsidRPr="00F17C70" w:rsidRDefault="00F17C70" w:rsidP="00F17C70">
      <w:pPr>
        <w:rPr>
          <w:b/>
          <w:bCs/>
        </w:rPr>
      </w:pPr>
      <w:r w:rsidRPr="00F17C70">
        <w:rPr>
          <w:b/>
          <w:bCs/>
        </w:rPr>
        <w:t>Заключение</w:t>
      </w:r>
    </w:p>
    <w:p w14:paraId="0E800B72" w14:textId="77777777" w:rsidR="00F17C70" w:rsidRPr="00F17C70" w:rsidRDefault="00F17C70" w:rsidP="00F17C70">
      <w:r w:rsidRPr="00F17C70">
        <w:t>Выполненный этап заложил прочный фундамент для всего исследования: создан «чистый» бенчмарк, реализованы эффективные алгоритмы извлечения признаков и получена базовая мета-модель, подтверждающая возможность автоматического выбора CVI. Полученные результаты согласуются с современными представлениями о роли CLM</w:t>
      </w:r>
      <w:r w:rsidRPr="00F17C70">
        <w:noBreakHyphen/>
        <w:t>фильтрации и топологических признаков в задачах мета-обучения для кластеризации. Разработанные программные модули будут использованы в последующих спринтах для построения полноценной системы автоматического выбора алгоритмов кластеризации.</w:t>
      </w:r>
    </w:p>
    <w:p w14:paraId="71B86FE7" w14:textId="77777777" w:rsidR="007B39FA" w:rsidRDefault="007B39FA"/>
    <w:sectPr w:rsidR="007B3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94DD4"/>
    <w:multiLevelType w:val="multilevel"/>
    <w:tmpl w:val="EAF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0A5A"/>
    <w:multiLevelType w:val="multilevel"/>
    <w:tmpl w:val="C370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C4F17"/>
    <w:multiLevelType w:val="multilevel"/>
    <w:tmpl w:val="CD7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68713">
    <w:abstractNumId w:val="0"/>
  </w:num>
  <w:num w:numId="2" w16cid:durableId="462886817">
    <w:abstractNumId w:val="2"/>
  </w:num>
  <w:num w:numId="3" w16cid:durableId="414714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FA"/>
    <w:rsid w:val="00071B55"/>
    <w:rsid w:val="004E2C15"/>
    <w:rsid w:val="007B39FA"/>
    <w:rsid w:val="00F1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6DF6"/>
  <w15:chartTrackingRefBased/>
  <w15:docId w15:val="{EA942803-2891-4A32-9F9D-7930FC2F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1390</Words>
  <Characters>7923</Characters>
  <Application>Microsoft Office Word</Application>
  <DocSecurity>0</DocSecurity>
  <Lines>66</Lines>
  <Paragraphs>18</Paragraphs>
  <ScaleCrop>false</ScaleCrop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Vishnyakov</dc:creator>
  <cp:keywords/>
  <dc:description/>
  <cp:lastModifiedBy>Dan Vishnyakov</cp:lastModifiedBy>
  <cp:revision>3</cp:revision>
  <dcterms:created xsi:type="dcterms:W3CDTF">2026-05-05T07:39:00Z</dcterms:created>
  <dcterms:modified xsi:type="dcterms:W3CDTF">2026-05-05T09:07:00Z</dcterms:modified>
</cp:coreProperties>
</file>