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GenomeAI AgroAnimals</w:t>
      </w:r>
    </w:p>
    <w:p>
      <w:pPr>
        <w:jc w:val="center"/>
      </w:pPr>
      <w:r>
        <w:rPr>
          <w:sz w:val="24"/>
        </w:rPr>
        <w:t>Документ 7. Финансовая модель проекта (СНГ) — допущения, сценарии, юнит-экономика</w:t>
      </w:r>
    </w:p>
    <w:p>
      <w:pPr>
        <w:jc w:val="center"/>
      </w:pPr>
      <w:r>
        <w:t>Фокус: молочный КРС, продуктивность; MVP с обязательным ML и AI-отчетами; on-prem по умолчанию Валюта документа: рубли (₽).</w:t>
      </w:r>
    </w:p>
    <w:p>
      <w:pPr>
        <w:jc w:val="center"/>
      </w:pPr>
      <w:r>
        <w:t>Версия: 1.1 (все суммы в ₽)    Дата: 15.12.2025</w:t>
      </w:r>
    </w:p>
    <w:p/>
    <w:p>
      <w:pPr>
        <w:jc w:val="center"/>
      </w:pPr>
      <w:r>
        <w:t>Статус: рабочая версия для проектной папки (без изображений, без кода).</w:t>
      </w:r>
    </w:p>
    <w:p>
      <w:r>
        <w:br w:type="page"/>
      </w:r>
    </w:p>
    <w:p>
      <w:pPr>
        <w:pStyle w:val="Heading1"/>
      </w:pPr>
      <w:r>
        <w:t>1. Назначение и принципы модели</w:t>
      </w:r>
    </w:p>
    <w:p>
      <w:pPr>
        <w:pStyle w:val="ListBullet"/>
      </w:pPr>
      <w:r>
        <w:t>Это финансовая модель-скелет для принятия управленческих решений на этапе MVP в странах СНГ.</w:t>
      </w:r>
    </w:p>
    <w:p>
      <w:pPr>
        <w:pStyle w:val="ListBullet"/>
      </w:pPr>
      <w:r>
        <w:t>Все цифры ниже — допущения (assumptions). Модель предназначена для быстрой калибровки по итогам интервью и пилотов.</w:t>
      </w:r>
    </w:p>
    <w:p>
      <w:pPr>
        <w:pStyle w:val="ListBullet"/>
      </w:pPr>
      <w:r>
        <w:t>Главная цель: оценить экономику 12–36 месяцев и понять, что именно нужно валидировать (цены, конверсия, стоимость внедрения, удержание).</w:t>
      </w:r>
    </w:p>
    <w:p>
      <w:pPr>
        <w:pStyle w:val="ListBullet"/>
      </w:pPr>
      <w:r>
        <w:t>В модели учитывается, что ML и AI-отчеты обязательны в MVP, а развертывание — on-prem (влияет на COGS и внедрение).</w:t>
      </w:r>
    </w:p>
    <w:p>
      <w:r>
        <w:rPr>
          <w:b/>
        </w:rPr>
        <w:t xml:space="preserve">Примечание: </w:t>
      </w:r>
      <w:r>
        <w:t>После утверждения этой версии рекомендуется сделать отдельный XLSX-файл, где эти допущения будут параметрами. Но этот документ уже достаточен, чтобы команда могла реализовывать продукт, упаковку и процессы продаж.</w:t>
      </w:r>
    </w:p>
    <w:p>
      <w:pPr>
        <w:pStyle w:val="Heading1"/>
      </w:pPr>
      <w:r>
        <w:t>2. Продуктовая упаковка и монетизация (что именно продаём)</w:t>
      </w:r>
    </w:p>
    <w:p>
      <w:pPr>
        <w:pStyle w:val="Heading2"/>
      </w:pPr>
      <w:r>
        <w:t>2.1 Единицы продажи (рекомендуем для СНГ на MVP)</w:t>
      </w:r>
    </w:p>
    <w:p>
      <w:pPr>
        <w:pStyle w:val="ListBullet"/>
      </w:pPr>
      <w:r>
        <w:t>Единица №1: «Площадка/ферма» (site) внутри холдинга — понятна для учета и внедрения.</w:t>
      </w:r>
    </w:p>
    <w:p>
      <w:pPr>
        <w:pStyle w:val="ListBullet"/>
      </w:pPr>
      <w:r>
        <w:t>Единица №2: «Стадо/головы» (price per cow) — удобно, но сложнее для согласования и может конфликтовать с данными по факту.</w:t>
      </w:r>
    </w:p>
    <w:p>
      <w:pPr>
        <w:pStyle w:val="ListBullet"/>
      </w:pPr>
      <w:r>
        <w:t>Рекомендуем MVP: price per site + ограничение по максимальному количеству коров на площадке в договоре.</w:t>
      </w:r>
    </w:p>
    <w:p>
      <w:pPr>
        <w:pStyle w:val="Heading2"/>
      </w:pPr>
      <w:r>
        <w:t>2.2 Линейка (MVP)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Позиция</w:t>
            </w:r>
          </w:p>
        </w:tc>
        <w:tc>
          <w:tcPr>
            <w:tcW w:type="dxa" w:w="2436"/>
          </w:tcPr>
          <w:p>
            <w:r>
              <w:t>Что включает</w:t>
            </w:r>
          </w:p>
        </w:tc>
        <w:tc>
          <w:tcPr>
            <w:tcW w:type="dxa" w:w="2436"/>
          </w:tcPr>
          <w:p>
            <w:r>
              <w:t>Как тарифицировать</w:t>
            </w:r>
          </w:p>
        </w:tc>
        <w:tc>
          <w:tcPr>
            <w:tcW w:type="dxa" w:w="2436"/>
          </w:tcPr>
          <w:p>
            <w:r>
              <w:t>Комментарий</w:t>
            </w:r>
          </w:p>
        </w:tc>
      </w:tr>
      <w:tr>
        <w:tc>
          <w:tcPr>
            <w:tcW w:type="dxa" w:w="2436"/>
          </w:tcPr>
          <w:p>
            <w:r>
              <w:t>Пилот (8–12 недель)</w:t>
            </w:r>
          </w:p>
        </w:tc>
        <w:tc>
          <w:tcPr>
            <w:tcW w:type="dxa" w:w="2436"/>
          </w:tcPr>
          <w:p>
            <w:r>
              <w:t>2–3 прогона отчетов UC-1 + UC-3, on-prem запуск, настройка выгрузок</w:t>
            </w:r>
          </w:p>
        </w:tc>
        <w:tc>
          <w:tcPr>
            <w:tcW w:type="dxa" w:w="2436"/>
          </w:tcPr>
          <w:p>
            <w:r>
              <w:t>Фикс. плата за пилот</w:t>
            </w:r>
          </w:p>
        </w:tc>
        <w:tc>
          <w:tcPr>
            <w:tcW w:type="dxa" w:w="2436"/>
          </w:tcPr>
          <w:p>
            <w:r>
              <w:t>Цель пилота — доказать ценность и конвертировать в контракт</w:t>
            </w:r>
          </w:p>
        </w:tc>
      </w:tr>
      <w:tr>
        <w:tc>
          <w:tcPr>
            <w:tcW w:type="dxa" w:w="2436"/>
          </w:tcPr>
          <w:p>
            <w:r>
              <w:t>Подписка/лицензия (год)</w:t>
            </w:r>
          </w:p>
        </w:tc>
        <w:tc>
          <w:tcPr>
            <w:tcW w:type="dxa" w:w="2436"/>
          </w:tcPr>
          <w:p>
            <w:r>
              <w:t>Регулярные отчеты (Executive+Full), QC, ML-скоринг, поддержка шаблонов</w:t>
            </w:r>
          </w:p>
        </w:tc>
        <w:tc>
          <w:tcPr>
            <w:tcW w:type="dxa" w:w="2436"/>
          </w:tcPr>
          <w:p>
            <w:r>
              <w:t>Годовая плата за site</w:t>
            </w:r>
          </w:p>
        </w:tc>
        <w:tc>
          <w:tcPr>
            <w:tcW w:type="dxa" w:w="2436"/>
          </w:tcPr>
          <w:p>
            <w:r>
              <w:t>On-prem: обновления и поддержка в цене</w:t>
            </w:r>
          </w:p>
        </w:tc>
      </w:tr>
      <w:tr>
        <w:tc>
          <w:tcPr>
            <w:tcW w:type="dxa" w:w="2436"/>
          </w:tcPr>
          <w:p>
            <w:r>
              <w:t>Внедрение/адаптация</w:t>
            </w:r>
          </w:p>
        </w:tc>
        <w:tc>
          <w:tcPr>
            <w:tcW w:type="dxa" w:w="2436"/>
          </w:tcPr>
          <w:p>
            <w:r>
              <w:t>Маппинг колонок, настройка выгрузок/регламентов, обучение пользователей</w:t>
            </w:r>
          </w:p>
        </w:tc>
        <w:tc>
          <w:tcPr>
            <w:tcW w:type="dxa" w:w="2436"/>
          </w:tcPr>
          <w:p>
            <w:r>
              <w:t>Разово (setup fee)</w:t>
            </w:r>
          </w:p>
        </w:tc>
        <w:tc>
          <w:tcPr>
            <w:tcW w:type="dxa" w:w="2436"/>
          </w:tcPr>
          <w:p>
            <w:r>
              <w:t>У холдингов часто обязательно отдельной строкой</w:t>
            </w:r>
          </w:p>
        </w:tc>
      </w:tr>
      <w:tr>
        <w:tc>
          <w:tcPr>
            <w:tcW w:type="dxa" w:w="2436"/>
          </w:tcPr>
          <w:p>
            <w:r>
              <w:t>Опции P1</w:t>
            </w:r>
          </w:p>
        </w:tc>
        <w:tc>
          <w:tcPr>
            <w:tcW w:type="dxa" w:w="2436"/>
          </w:tcPr>
          <w:p>
            <w:r>
              <w:t>ECM/FPCM, SCC-флаги, mating plan (при pedigree)</w:t>
            </w:r>
          </w:p>
        </w:tc>
        <w:tc>
          <w:tcPr>
            <w:tcW w:type="dxa" w:w="2436"/>
          </w:tcPr>
          <w:p>
            <w:r>
              <w:t>Доп. модуль/надбавка</w:t>
            </w:r>
          </w:p>
        </w:tc>
        <w:tc>
          <w:tcPr>
            <w:tcW w:type="dxa" w:w="2436"/>
          </w:tcPr>
          <w:p>
            <w:r>
              <w:t>Подключать после P0, чтобы не блокировать пилот</w:t>
            </w:r>
          </w:p>
        </w:tc>
      </w:tr>
    </w:tbl>
    <w:p>
      <w:pPr>
        <w:pStyle w:val="Heading1"/>
      </w:pPr>
      <w:r>
        <w:t>3. Ценовые допущения (диапазоны для калибровки)</w:t>
      </w:r>
    </w:p>
    <w:p>
      <w:pPr>
        <w:pStyle w:val="Heading2"/>
      </w:pPr>
      <w:r>
        <w:t>3.1 Рекомендованные стартовые вилки для переговоров (СНГ)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t>Элемент</w:t>
            </w:r>
          </w:p>
        </w:tc>
        <w:tc>
          <w:tcPr>
            <w:tcW w:type="dxa" w:w="1949"/>
          </w:tcPr>
          <w:p>
            <w:r>
              <w:t>Conservative</w:t>
            </w:r>
          </w:p>
        </w:tc>
        <w:tc>
          <w:tcPr>
            <w:tcW w:type="dxa" w:w="1949"/>
          </w:tcPr>
          <w:p>
            <w:r>
              <w:t>Base</w:t>
            </w:r>
          </w:p>
        </w:tc>
        <w:tc>
          <w:tcPr>
            <w:tcW w:type="dxa" w:w="1949"/>
          </w:tcPr>
          <w:p>
            <w:r>
              <w:t>Aggressive</w:t>
            </w:r>
          </w:p>
        </w:tc>
        <w:tc>
          <w:tcPr>
            <w:tcW w:type="dxa" w:w="1949"/>
          </w:tcPr>
          <w:p>
            <w:r>
              <w:t>Примечание</w:t>
            </w:r>
          </w:p>
        </w:tc>
      </w:tr>
      <w:tr>
        <w:tc>
          <w:tcPr>
            <w:tcW w:type="dxa" w:w="1949"/>
          </w:tcPr>
          <w:p>
            <w:r>
              <w:t>Пилот (за 1 site)</w:t>
            </w:r>
          </w:p>
        </w:tc>
        <w:tc>
          <w:tcPr>
            <w:tcW w:type="dxa" w:w="1949"/>
          </w:tcPr>
          <w:p>
            <w:r>
              <w:t>220 000 ₽</w:t>
            </w:r>
          </w:p>
        </w:tc>
        <w:tc>
          <w:tcPr>
            <w:tcW w:type="dxa" w:w="1949"/>
          </w:tcPr>
          <w:p>
            <w:r>
              <w:t>550 000 ₽</w:t>
            </w:r>
          </w:p>
        </w:tc>
        <w:tc>
          <w:tcPr>
            <w:tcW w:type="dxa" w:w="1949"/>
          </w:tcPr>
          <w:p>
            <w:r>
              <w:t>1 100 000 ₽</w:t>
            </w:r>
          </w:p>
        </w:tc>
        <w:tc>
          <w:tcPr>
            <w:tcW w:type="dxa" w:w="1949"/>
          </w:tcPr>
          <w:p>
            <w:r>
              <w:t>В СНГ часто нужны пилоты как 'проверка'</w:t>
            </w:r>
          </w:p>
        </w:tc>
      </w:tr>
      <w:tr>
        <w:tc>
          <w:tcPr>
            <w:tcW w:type="dxa" w:w="1949"/>
          </w:tcPr>
          <w:p>
            <w:r>
              <w:t>Setup / внедрение (разово)</w:t>
            </w:r>
          </w:p>
        </w:tc>
        <w:tc>
          <w:tcPr>
            <w:tcW w:type="dxa" w:w="1949"/>
          </w:tcPr>
          <w:p>
            <w:r>
              <w:t>330 000 ₽</w:t>
            </w:r>
          </w:p>
        </w:tc>
        <w:tc>
          <w:tcPr>
            <w:tcW w:type="dxa" w:w="1949"/>
          </w:tcPr>
          <w:p>
            <w:r>
              <w:t>880 000 ₽</w:t>
            </w:r>
          </w:p>
        </w:tc>
        <w:tc>
          <w:tcPr>
            <w:tcW w:type="dxa" w:w="1949"/>
          </w:tcPr>
          <w:p>
            <w:r>
              <w:t>1 650 000 ₽</w:t>
            </w:r>
          </w:p>
        </w:tc>
        <w:tc>
          <w:tcPr>
            <w:tcW w:type="dxa" w:w="1949"/>
          </w:tcPr>
          <w:p>
            <w:r>
              <w:t>Зависит от ИТ и качества выгрузок</w:t>
            </w:r>
          </w:p>
        </w:tc>
      </w:tr>
      <w:tr>
        <w:tc>
          <w:tcPr>
            <w:tcW w:type="dxa" w:w="1949"/>
          </w:tcPr>
          <w:p>
            <w:r>
              <w:t>Годовая лицензия (за 1 site)</w:t>
            </w:r>
          </w:p>
        </w:tc>
        <w:tc>
          <w:tcPr>
            <w:tcW w:type="dxa" w:w="1949"/>
          </w:tcPr>
          <w:p>
            <w:r>
              <w:t>330 000 ₽</w:t>
            </w:r>
          </w:p>
        </w:tc>
        <w:tc>
          <w:tcPr>
            <w:tcW w:type="dxa" w:w="1949"/>
          </w:tcPr>
          <w:p>
            <w:r>
              <w:t>1 100 000 ₽</w:t>
            </w:r>
          </w:p>
        </w:tc>
        <w:tc>
          <w:tcPr>
            <w:tcW w:type="dxa" w:w="1949"/>
          </w:tcPr>
          <w:p>
            <w:r>
              <w:t>2 750 000 ₽</w:t>
            </w:r>
          </w:p>
        </w:tc>
        <w:tc>
          <w:tcPr>
            <w:tcW w:type="dxa" w:w="1949"/>
          </w:tcPr>
          <w:p>
            <w:r>
              <w:t>On-prem поддержка и обновления включены</w:t>
            </w:r>
          </w:p>
        </w:tc>
      </w:tr>
      <w:tr>
        <w:tc>
          <w:tcPr>
            <w:tcW w:type="dxa" w:w="1949"/>
          </w:tcPr>
          <w:p>
            <w:r>
              <w:t>P1-модуль (год)</w:t>
            </w:r>
          </w:p>
        </w:tc>
        <w:tc>
          <w:tcPr>
            <w:tcW w:type="dxa" w:w="1949"/>
          </w:tcPr>
          <w:p>
            <w:r>
              <w:t>110 000 ₽</w:t>
            </w:r>
          </w:p>
        </w:tc>
        <w:tc>
          <w:tcPr>
            <w:tcW w:type="dxa" w:w="1949"/>
          </w:tcPr>
          <w:p>
            <w:r>
              <w:t>330 000 ₽</w:t>
            </w:r>
          </w:p>
        </w:tc>
        <w:tc>
          <w:tcPr>
            <w:tcW w:type="dxa" w:w="1949"/>
          </w:tcPr>
          <w:p>
            <w:r>
              <w:t>880 000 ₽</w:t>
            </w:r>
          </w:p>
        </w:tc>
        <w:tc>
          <w:tcPr>
            <w:tcW w:type="dxa" w:w="1949"/>
          </w:tcPr>
          <w:p>
            <w:r>
              <w:t>По согласию; не включать в P0 по умолчанию</w:t>
            </w:r>
          </w:p>
        </w:tc>
      </w:tr>
    </w:tbl>
    <w:p>
      <w:r>
        <w:t>Примечание: Все суммы в этом документе указаны в рублях (₽). Если нужно сопоставлять с валютными бюджетами/контрактами, используйте фиксированный курс/индексацию в коммерческом приложении.</w:t>
      </w:r>
    </w:p>
    <w:p>
      <w:pPr>
        <w:pStyle w:val="Heading2"/>
      </w:pPr>
      <w:r>
        <w:t>3.2 Триггеры, влияющие на цену</w:t>
      </w:r>
    </w:p>
    <w:p>
      <w:pPr>
        <w:pStyle w:val="ListBullet"/>
      </w:pPr>
      <w:r>
        <w:t>Размер и структура холдинга (количество площадок, требование разделять контуры).</w:t>
      </w:r>
    </w:p>
    <w:p>
      <w:pPr>
        <w:pStyle w:val="ListBullet"/>
      </w:pPr>
      <w:r>
        <w:t>Требования ИБ: изолированный контур, запреты на интернет, дополнительные аудит-артефакты.</w:t>
      </w:r>
    </w:p>
    <w:p>
      <w:pPr>
        <w:pStyle w:val="ListBullet"/>
      </w:pPr>
      <w:r>
        <w:t>Сложность данных: если выгрузки нестабильны и нужен постоянный 'data steward' — стоимость сопровождения выше.</w:t>
      </w:r>
    </w:p>
    <w:p>
      <w:pPr>
        <w:pStyle w:val="ListBullet"/>
      </w:pPr>
      <w:r>
        <w:t>Наличие pedigree/геномики: увеличивает ценность, но требует данных (P1).</w:t>
      </w:r>
    </w:p>
    <w:p>
      <w:pPr>
        <w:pStyle w:val="Heading1"/>
      </w:pPr>
      <w:r>
        <w:t>4. Воронка продаж и допущения по конверсии (MVP-этап)</w:t>
      </w:r>
    </w:p>
    <w:p>
      <w:pPr>
        <w:pStyle w:val="Heading2"/>
      </w:pPr>
      <w:r>
        <w:t>4.1 Воронка (пример)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Шаг</w:t>
            </w:r>
          </w:p>
        </w:tc>
        <w:tc>
          <w:tcPr>
            <w:tcW w:type="dxa" w:w="2436"/>
          </w:tcPr>
          <w:p>
            <w:r>
              <w:t>Что означает</w:t>
            </w:r>
          </w:p>
        </w:tc>
        <w:tc>
          <w:tcPr>
            <w:tcW w:type="dxa" w:w="2436"/>
          </w:tcPr>
          <w:p>
            <w:r>
              <w:t>Цель на 12 недель (Base)</w:t>
            </w:r>
          </w:p>
        </w:tc>
        <w:tc>
          <w:tcPr>
            <w:tcW w:type="dxa" w:w="2436"/>
          </w:tcPr>
          <w:p>
            <w:r>
              <w:t>Комментарий</w:t>
            </w:r>
          </w:p>
        </w:tc>
      </w:tr>
      <w:tr>
        <w:tc>
          <w:tcPr>
            <w:tcW w:type="dxa" w:w="2436"/>
          </w:tcPr>
          <w:p>
            <w:r>
              <w:t>Outreach</w:t>
            </w:r>
          </w:p>
        </w:tc>
        <w:tc>
          <w:tcPr>
            <w:tcW w:type="dxa" w:w="2436"/>
          </w:tcPr>
          <w:p>
            <w:r>
              <w:t>контакты по целевому списку</w:t>
            </w:r>
          </w:p>
        </w:tc>
        <w:tc>
          <w:tcPr>
            <w:tcW w:type="dxa" w:w="2436"/>
          </w:tcPr>
          <w:p>
            <w:r>
              <w:t>50–80</w:t>
            </w:r>
          </w:p>
        </w:tc>
        <w:tc>
          <w:tcPr>
            <w:tcW w:type="dxa" w:w="2436"/>
          </w:tcPr>
          <w:p>
            <w:r>
              <w:t>точечные холдинги/фермы</w:t>
            </w:r>
          </w:p>
        </w:tc>
      </w:tr>
      <w:tr>
        <w:tc>
          <w:tcPr>
            <w:tcW w:type="dxa" w:w="2436"/>
          </w:tcPr>
          <w:p>
            <w:r>
              <w:t>Интервью</w:t>
            </w:r>
          </w:p>
        </w:tc>
        <w:tc>
          <w:tcPr>
            <w:tcW w:type="dxa" w:w="2436"/>
          </w:tcPr>
          <w:p>
            <w:r>
              <w:t>встречи с зоотехником/директором</w:t>
            </w:r>
          </w:p>
        </w:tc>
        <w:tc>
          <w:tcPr>
            <w:tcW w:type="dxa" w:w="2436"/>
          </w:tcPr>
          <w:p>
            <w:r>
              <w:t>10–15</w:t>
            </w:r>
          </w:p>
        </w:tc>
        <w:tc>
          <w:tcPr>
            <w:tcW w:type="dxa" w:w="2436"/>
          </w:tcPr>
          <w:p>
            <w:r>
              <w:t>валидируем боль/данные/ИБ</w:t>
            </w:r>
          </w:p>
        </w:tc>
      </w:tr>
      <w:tr>
        <w:tc>
          <w:tcPr>
            <w:tcW w:type="dxa" w:w="2436"/>
          </w:tcPr>
          <w:p>
            <w:r>
              <w:t>Квалификация</w:t>
            </w:r>
          </w:p>
        </w:tc>
        <w:tc>
          <w:tcPr>
            <w:tcW w:type="dxa" w:w="2436"/>
          </w:tcPr>
          <w:p>
            <w:r>
              <w:t>данные P0 доступны, on-prem ок</w:t>
            </w:r>
          </w:p>
        </w:tc>
        <w:tc>
          <w:tcPr>
            <w:tcW w:type="dxa" w:w="2436"/>
          </w:tcPr>
          <w:p>
            <w:r>
              <w:t>4–6</w:t>
            </w:r>
          </w:p>
        </w:tc>
        <w:tc>
          <w:tcPr>
            <w:tcW w:type="dxa" w:w="2436"/>
          </w:tcPr>
          <w:p>
            <w:r>
              <w:t>переходим к NDA/запросу данных</w:t>
            </w:r>
          </w:p>
        </w:tc>
      </w:tr>
      <w:tr>
        <w:tc>
          <w:tcPr>
            <w:tcW w:type="dxa" w:w="2436"/>
          </w:tcPr>
          <w:p>
            <w:r>
              <w:t>Пилот</w:t>
            </w:r>
          </w:p>
        </w:tc>
        <w:tc>
          <w:tcPr>
            <w:tcW w:type="dxa" w:w="2436"/>
          </w:tcPr>
          <w:p>
            <w:r>
              <w:t>запуск на 1 площадке</w:t>
            </w:r>
          </w:p>
        </w:tc>
        <w:tc>
          <w:tcPr>
            <w:tcW w:type="dxa" w:w="2436"/>
          </w:tcPr>
          <w:p>
            <w:r>
              <w:t>2–3</w:t>
            </w:r>
          </w:p>
        </w:tc>
        <w:tc>
          <w:tcPr>
            <w:tcW w:type="dxa" w:w="2436"/>
          </w:tcPr>
          <w:p>
            <w:r>
              <w:t>8–12 недель</w:t>
            </w:r>
          </w:p>
        </w:tc>
      </w:tr>
      <w:tr>
        <w:tc>
          <w:tcPr>
            <w:tcW w:type="dxa" w:w="2436"/>
          </w:tcPr>
          <w:p>
            <w:r>
              <w:t>Конверсия в контракт</w:t>
            </w:r>
          </w:p>
        </w:tc>
        <w:tc>
          <w:tcPr>
            <w:tcW w:type="dxa" w:w="2436"/>
          </w:tcPr>
          <w:p>
            <w:r>
              <w:t>лицензия на год + внедрение</w:t>
            </w:r>
          </w:p>
        </w:tc>
        <w:tc>
          <w:tcPr>
            <w:tcW w:type="dxa" w:w="2436"/>
          </w:tcPr>
          <w:p>
            <w:r>
              <w:t>1–2</w:t>
            </w:r>
          </w:p>
        </w:tc>
        <w:tc>
          <w:tcPr>
            <w:tcW w:type="dxa" w:w="2436"/>
          </w:tcPr>
          <w:p>
            <w:r>
              <w:t>в идеале 50–70% от пилотов</w:t>
            </w:r>
          </w:p>
        </w:tc>
      </w:tr>
    </w:tbl>
    <w:p>
      <w:pPr>
        <w:pStyle w:val="Heading2"/>
      </w:pPr>
      <w:r>
        <w:t>4.2 Допущения по конверсии (для 12 месяцев)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Параметр</w:t>
            </w:r>
          </w:p>
        </w:tc>
        <w:tc>
          <w:tcPr>
            <w:tcW w:type="dxa" w:w="2436"/>
          </w:tcPr>
          <w:p>
            <w:r>
              <w:t>Conservative</w:t>
            </w:r>
          </w:p>
        </w:tc>
        <w:tc>
          <w:tcPr>
            <w:tcW w:type="dxa" w:w="2436"/>
          </w:tcPr>
          <w:p>
            <w:r>
              <w:t>Base</w:t>
            </w:r>
          </w:p>
        </w:tc>
        <w:tc>
          <w:tcPr>
            <w:tcW w:type="dxa" w:w="2436"/>
          </w:tcPr>
          <w:p>
            <w:r>
              <w:t>Aggressive</w:t>
            </w:r>
          </w:p>
        </w:tc>
      </w:tr>
      <w:tr>
        <w:tc>
          <w:tcPr>
            <w:tcW w:type="dxa" w:w="2436"/>
          </w:tcPr>
          <w:p>
            <w:r>
              <w:t>Outreach → интервью</w:t>
            </w:r>
          </w:p>
        </w:tc>
        <w:tc>
          <w:tcPr>
            <w:tcW w:type="dxa" w:w="2436"/>
          </w:tcPr>
          <w:p>
            <w:r>
              <w:t>10%</w:t>
            </w:r>
          </w:p>
        </w:tc>
        <w:tc>
          <w:tcPr>
            <w:tcW w:type="dxa" w:w="2436"/>
          </w:tcPr>
          <w:p>
            <w:r>
              <w:t>20%</w:t>
            </w:r>
          </w:p>
        </w:tc>
        <w:tc>
          <w:tcPr>
            <w:tcW w:type="dxa" w:w="2436"/>
          </w:tcPr>
          <w:p>
            <w:r>
              <w:t>30%</w:t>
            </w:r>
          </w:p>
        </w:tc>
      </w:tr>
      <w:tr>
        <w:tc>
          <w:tcPr>
            <w:tcW w:type="dxa" w:w="2436"/>
          </w:tcPr>
          <w:p>
            <w:r>
              <w:t>Интервью → пилот</w:t>
            </w:r>
          </w:p>
        </w:tc>
        <w:tc>
          <w:tcPr>
            <w:tcW w:type="dxa" w:w="2436"/>
          </w:tcPr>
          <w:p>
            <w:r>
              <w:t>15%</w:t>
            </w:r>
          </w:p>
        </w:tc>
        <w:tc>
          <w:tcPr>
            <w:tcW w:type="dxa" w:w="2436"/>
          </w:tcPr>
          <w:p>
            <w:r>
              <w:t>25%</w:t>
            </w:r>
          </w:p>
        </w:tc>
        <w:tc>
          <w:tcPr>
            <w:tcW w:type="dxa" w:w="2436"/>
          </w:tcPr>
          <w:p>
            <w:r>
              <w:t>35%</w:t>
            </w:r>
          </w:p>
        </w:tc>
      </w:tr>
      <w:tr>
        <w:tc>
          <w:tcPr>
            <w:tcW w:type="dxa" w:w="2436"/>
          </w:tcPr>
          <w:p>
            <w:r>
              <w:t>Пилот → контракт</w:t>
            </w:r>
          </w:p>
        </w:tc>
        <w:tc>
          <w:tcPr>
            <w:tcW w:type="dxa" w:w="2436"/>
          </w:tcPr>
          <w:p>
            <w:r>
              <w:t>30%</w:t>
            </w:r>
          </w:p>
        </w:tc>
        <w:tc>
          <w:tcPr>
            <w:tcW w:type="dxa" w:w="2436"/>
          </w:tcPr>
          <w:p>
            <w:r>
              <w:t>60%</w:t>
            </w:r>
          </w:p>
        </w:tc>
        <w:tc>
          <w:tcPr>
            <w:tcW w:type="dxa" w:w="2436"/>
          </w:tcPr>
          <w:p>
            <w:r>
              <w:t>75%</w:t>
            </w:r>
          </w:p>
        </w:tc>
      </w:tr>
      <w:tr>
        <w:tc>
          <w:tcPr>
            <w:tcW w:type="dxa" w:w="2436"/>
          </w:tcPr>
          <w:p>
            <w:r>
              <w:t>Churn годовой (после контракта)</w:t>
            </w:r>
          </w:p>
        </w:tc>
        <w:tc>
          <w:tcPr>
            <w:tcW w:type="dxa" w:w="2436"/>
          </w:tcPr>
          <w:p>
            <w:r>
              <w:t>25%</w:t>
            </w:r>
          </w:p>
        </w:tc>
        <w:tc>
          <w:tcPr>
            <w:tcW w:type="dxa" w:w="2436"/>
          </w:tcPr>
          <w:p>
            <w:r>
              <w:t>15%</w:t>
            </w:r>
          </w:p>
        </w:tc>
        <w:tc>
          <w:tcPr>
            <w:tcW w:type="dxa" w:w="2436"/>
          </w:tcPr>
          <w:p>
            <w:r>
              <w:t>8%</w:t>
            </w:r>
          </w:p>
        </w:tc>
      </w:tr>
    </w:tbl>
    <w:p>
      <w:pPr>
        <w:pStyle w:val="Heading1"/>
      </w:pPr>
      <w:r>
        <w:t>5. Себестоимость (COGS) и операционные расходы (OPEX)</w:t>
      </w:r>
    </w:p>
    <w:p>
      <w:pPr>
        <w:pStyle w:val="Heading2"/>
      </w:pPr>
      <w:r>
        <w:t>5.1 COGS (на 1 site в месяц) — что считать</w:t>
      </w:r>
    </w:p>
    <w:p>
      <w:pPr>
        <w:pStyle w:val="ListBullet"/>
      </w:pPr>
      <w:r>
        <w:t>Поддержка on-prem (саппорт/обновления/консультации по выгрузкам).</w:t>
      </w:r>
    </w:p>
    <w:p>
      <w:pPr>
        <w:pStyle w:val="ListBullet"/>
      </w:pPr>
      <w:r>
        <w:t>Вычисления: CPU/GPU в контуре клиента (обычно оплачивает клиент), но есть стоимость разработки/поддержки и тестирования релизов.</w:t>
      </w:r>
    </w:p>
    <w:p>
      <w:pPr>
        <w:pStyle w:val="ListBullet"/>
      </w:pPr>
      <w:r>
        <w:t>LLM: если локальная модель — нагрузка на железо клиента; если API — переменная стоимость токенов (в MVP лучше локально/без отправки сырых данных).</w:t>
      </w:r>
    </w:p>
    <w:p>
      <w:pPr>
        <w:pStyle w:val="ListBullet"/>
      </w:pPr>
      <w:r>
        <w:t>Контроль качества и аудит-артефакты: хранение артефактов и журналов.</w:t>
      </w:r>
    </w:p>
    <w:p>
      <w:pPr>
        <w:pStyle w:val="Heading2"/>
      </w:pPr>
      <w:r>
        <w:t>5.2 Пример COGS-диапазонов (Base, ориентир)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Статья</w:t>
            </w:r>
          </w:p>
        </w:tc>
        <w:tc>
          <w:tcPr>
            <w:tcW w:type="dxa" w:w="3249"/>
          </w:tcPr>
          <w:p>
            <w:r>
              <w:t>Base (в месяц на 1 site)</w:t>
            </w:r>
          </w:p>
        </w:tc>
        <w:tc>
          <w:tcPr>
            <w:tcW w:type="dxa" w:w="3249"/>
          </w:tcPr>
          <w:p>
            <w:r>
              <w:t>Комментарий</w:t>
            </w:r>
          </w:p>
        </w:tc>
      </w:tr>
      <w:tr>
        <w:tc>
          <w:tcPr>
            <w:tcW w:type="dxa" w:w="3249"/>
          </w:tcPr>
          <w:p>
            <w:r>
              <w:t>Саппорт и сопровождение данных</w:t>
            </w:r>
          </w:p>
        </w:tc>
        <w:tc>
          <w:tcPr>
            <w:tcW w:type="dxa" w:w="3249"/>
          </w:tcPr>
          <w:p>
            <w:r>
              <w:t>33 000–77 000 ₽</w:t>
            </w:r>
          </w:p>
        </w:tc>
        <w:tc>
          <w:tcPr>
            <w:tcW w:type="dxa" w:w="3249"/>
          </w:tcPr>
          <w:p>
            <w:r>
              <w:t>включает коммуникации, разбор QC</w:t>
            </w:r>
          </w:p>
        </w:tc>
      </w:tr>
      <w:tr>
        <w:tc>
          <w:tcPr>
            <w:tcW w:type="dxa" w:w="3249"/>
          </w:tcPr>
          <w:p>
            <w:r>
              <w:t>Релизы/обновления/тестирование</w:t>
            </w:r>
          </w:p>
        </w:tc>
        <w:tc>
          <w:tcPr>
            <w:tcW w:type="dxa" w:w="3249"/>
          </w:tcPr>
          <w:p>
            <w:r>
              <w:t>16 500–44 000 ₽</w:t>
            </w:r>
          </w:p>
        </w:tc>
        <w:tc>
          <w:tcPr>
            <w:tcW w:type="dxa" w:w="3249"/>
          </w:tcPr>
          <w:p>
            <w:r>
              <w:t>распределенно на портфель клиентов</w:t>
            </w:r>
          </w:p>
        </w:tc>
      </w:tr>
      <w:tr>
        <w:tc>
          <w:tcPr>
            <w:tcW w:type="dxa" w:w="3249"/>
          </w:tcPr>
          <w:p>
            <w:r>
              <w:t>LLM-часть (операции)</w:t>
            </w:r>
          </w:p>
        </w:tc>
        <w:tc>
          <w:tcPr>
            <w:tcW w:type="dxa" w:w="3249"/>
          </w:tcPr>
          <w:p>
            <w:r>
              <w:t>0–22 000 ₽</w:t>
            </w:r>
          </w:p>
        </w:tc>
        <w:tc>
          <w:tcPr>
            <w:tcW w:type="dxa" w:w="3249"/>
          </w:tcPr>
          <w:p>
            <w:r>
              <w:t>если локально — ближе к 0; если API — зависит от политики</w:t>
            </w:r>
          </w:p>
        </w:tc>
      </w:tr>
      <w:tr>
        <w:tc>
          <w:tcPr>
            <w:tcW w:type="dxa" w:w="3249"/>
          </w:tcPr>
          <w:p>
            <w:r>
              <w:t>Итого COGS (ориентир)</w:t>
            </w:r>
          </w:p>
        </w:tc>
        <w:tc>
          <w:tcPr>
            <w:tcW w:type="dxa" w:w="3249"/>
          </w:tcPr>
          <w:p>
            <w:r>
              <w:t>49 500–143 000 ₽</w:t>
            </w:r>
          </w:p>
        </w:tc>
        <w:tc>
          <w:tcPr>
            <w:tcW w:type="dxa" w:w="3249"/>
          </w:tcPr>
          <w:p>
            <w:r>
              <w:t>важно валидировать на первых 3 пилотах</w:t>
            </w:r>
          </w:p>
        </w:tc>
      </w:tr>
    </w:tbl>
    <w:p>
      <w:pPr>
        <w:pStyle w:val="Heading2"/>
      </w:pPr>
      <w:r>
        <w:t>5.3 OPEX (команда и продажи) — MVP год</w:t>
      </w:r>
    </w:p>
    <w:p>
      <w:pPr>
        <w:pStyle w:val="ListBullet"/>
      </w:pPr>
      <w:r>
        <w:t>Продажи/BD: 1 человек (или роль фаундера) + бюджет на поездки/мероприятия.</w:t>
      </w:r>
    </w:p>
    <w:p>
      <w:pPr>
        <w:pStyle w:val="ListBullet"/>
      </w:pPr>
      <w:r>
        <w:t>Продукт/аналитика внедрения: 1 человек (формализация данных/контента отчетов, поддержка внедрения).</w:t>
      </w:r>
    </w:p>
    <w:p>
      <w:pPr>
        <w:pStyle w:val="ListBullet"/>
      </w:pPr>
      <w:r>
        <w:t>ML/AI R&amp;D: 1–2 человека (улучшение модели и отчета, валидаторы антигаллюцинаций).</w:t>
      </w:r>
    </w:p>
    <w:p>
      <w:pPr>
        <w:pStyle w:val="ListBullet"/>
      </w:pPr>
      <w:r>
        <w:t>Юридика/ИБ: частично (консалтинг) либо внутренний ресурс по мере сделок.</w:t>
      </w:r>
    </w:p>
    <w:p>
      <w:r>
        <w:rPr>
          <w:b/>
        </w:rPr>
        <w:t xml:space="preserve">Примечание: </w:t>
      </w:r>
      <w:r>
        <w:t>Точные ставки и зарплаты зависят от страны и формата найма. В этой версии мы не фиксируем ФОТ цифрами, а даём структуру, чтобы дальше перенести в XLSX с локальными ставками.</w:t>
      </w:r>
    </w:p>
    <w:p>
      <w:pPr>
        <w:pStyle w:val="Heading1"/>
      </w:pPr>
      <w:r>
        <w:t>6. Сценарии 12–36 месяцев (пример числового скелета)</w:t>
      </w:r>
    </w:p>
    <w:p>
      <w:pPr>
        <w:pStyle w:val="Heading2"/>
      </w:pPr>
      <w:r>
        <w:t>6.1 Допущения для расчетного примера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</w:tcPr>
          <w:p>
            <w:r>
              <w:t>Сценарий</w:t>
            </w:r>
          </w:p>
        </w:tc>
        <w:tc>
          <w:tcPr>
            <w:tcW w:type="dxa" w:w="1218"/>
          </w:tcPr>
          <w:p>
            <w:r>
              <w:t>Пилоты (sites) Y1</w:t>
            </w:r>
          </w:p>
        </w:tc>
        <w:tc>
          <w:tcPr>
            <w:tcW w:type="dxa" w:w="1218"/>
          </w:tcPr>
          <w:p>
            <w:r>
              <w:t>Контракты Y1</w:t>
            </w:r>
          </w:p>
        </w:tc>
        <w:tc>
          <w:tcPr>
            <w:tcW w:type="dxa" w:w="1218"/>
          </w:tcPr>
          <w:p>
            <w:r>
              <w:t>Выручка пилотов</w:t>
            </w:r>
          </w:p>
        </w:tc>
        <w:tc>
          <w:tcPr>
            <w:tcW w:type="dxa" w:w="1218"/>
          </w:tcPr>
          <w:p>
            <w:r>
              <w:t>Выручка setup</w:t>
            </w:r>
          </w:p>
        </w:tc>
        <w:tc>
          <w:tcPr>
            <w:tcW w:type="dxa" w:w="1218"/>
          </w:tcPr>
          <w:p>
            <w:r>
              <w:t>Выручка лицензий</w:t>
            </w:r>
          </w:p>
        </w:tc>
        <w:tc>
          <w:tcPr>
            <w:tcW w:type="dxa" w:w="1218"/>
          </w:tcPr>
          <w:p>
            <w:r>
              <w:t>Выручка P1</w:t>
            </w:r>
          </w:p>
        </w:tc>
        <w:tc>
          <w:tcPr>
            <w:tcW w:type="dxa" w:w="1218"/>
          </w:tcPr>
          <w:p>
            <w:r>
              <w:t>Итого выручка Y1</w:t>
            </w:r>
          </w:p>
        </w:tc>
      </w:tr>
      <w:tr>
        <w:tc>
          <w:tcPr>
            <w:tcW w:type="dxa" w:w="1218"/>
          </w:tcPr>
          <w:p>
            <w:r>
              <w:t>Conservative</w:t>
            </w:r>
          </w:p>
        </w:tc>
        <w:tc>
          <w:tcPr>
            <w:tcW w:type="dxa" w:w="1218"/>
          </w:tcPr>
          <w:p>
            <w:r>
              <w:t>4</w:t>
            </w:r>
          </w:p>
        </w:tc>
        <w:tc>
          <w:tcPr>
            <w:tcW w:type="dxa" w:w="1218"/>
          </w:tcPr>
          <w:p>
            <w:r>
              <w:t>1</w:t>
            </w:r>
          </w:p>
        </w:tc>
        <w:tc>
          <w:tcPr>
            <w:tcW w:type="dxa" w:w="1218"/>
          </w:tcPr>
          <w:p>
            <w:r>
              <w:t>880 000 ₽</w:t>
            </w:r>
          </w:p>
        </w:tc>
        <w:tc>
          <w:tcPr>
            <w:tcW w:type="dxa" w:w="1218"/>
          </w:tcPr>
          <w:p>
            <w:r>
              <w:t>330 000 ₽</w:t>
            </w:r>
          </w:p>
        </w:tc>
        <w:tc>
          <w:tcPr>
            <w:tcW w:type="dxa" w:w="1218"/>
          </w:tcPr>
          <w:p>
            <w:r>
              <w:t>330 000 ₽</w:t>
            </w:r>
          </w:p>
        </w:tc>
        <w:tc>
          <w:tcPr>
            <w:tcW w:type="dxa" w:w="1218"/>
          </w:tcPr>
          <w:p>
            <w:r>
              <w:t>0 ₽</w:t>
            </w:r>
          </w:p>
        </w:tc>
        <w:tc>
          <w:tcPr>
            <w:tcW w:type="dxa" w:w="1218"/>
          </w:tcPr>
          <w:p>
            <w:r>
              <w:t>1 540 000 ₽</w:t>
            </w:r>
          </w:p>
        </w:tc>
      </w:tr>
      <w:tr>
        <w:tc>
          <w:tcPr>
            <w:tcW w:type="dxa" w:w="1218"/>
          </w:tcPr>
          <w:p>
            <w:r>
              <w:t>Base</w:t>
            </w:r>
          </w:p>
        </w:tc>
        <w:tc>
          <w:tcPr>
            <w:tcW w:type="dxa" w:w="1218"/>
          </w:tcPr>
          <w:p>
            <w:r>
              <w:t>8</w:t>
            </w:r>
          </w:p>
        </w:tc>
        <w:tc>
          <w:tcPr>
            <w:tcW w:type="dxa" w:w="1218"/>
          </w:tcPr>
          <w:p>
            <w:r>
              <w:t>4</w:t>
            </w:r>
          </w:p>
        </w:tc>
        <w:tc>
          <w:tcPr>
            <w:tcW w:type="dxa" w:w="1218"/>
          </w:tcPr>
          <w:p>
            <w:r>
              <w:t>4 400 000 ₽</w:t>
            </w:r>
          </w:p>
        </w:tc>
        <w:tc>
          <w:tcPr>
            <w:tcW w:type="dxa" w:w="1218"/>
          </w:tcPr>
          <w:p>
            <w:r>
              <w:t>3 520 000 ₽</w:t>
            </w:r>
          </w:p>
        </w:tc>
        <w:tc>
          <w:tcPr>
            <w:tcW w:type="dxa" w:w="1218"/>
          </w:tcPr>
          <w:p>
            <w:r>
              <w:t>4 400 000 ₽</w:t>
            </w:r>
          </w:p>
        </w:tc>
        <w:tc>
          <w:tcPr>
            <w:tcW w:type="dxa" w:w="1218"/>
          </w:tcPr>
          <w:p>
            <w:r>
              <w:t>330 000 ₽</w:t>
            </w:r>
          </w:p>
        </w:tc>
        <w:tc>
          <w:tcPr>
            <w:tcW w:type="dxa" w:w="1218"/>
          </w:tcPr>
          <w:p>
            <w:r>
              <w:t>12 650 000 ₽</w:t>
            </w:r>
          </w:p>
        </w:tc>
      </w:tr>
      <w:tr>
        <w:tc>
          <w:tcPr>
            <w:tcW w:type="dxa" w:w="1218"/>
          </w:tcPr>
          <w:p>
            <w:r>
              <w:t>Aggressive</w:t>
            </w:r>
          </w:p>
        </w:tc>
        <w:tc>
          <w:tcPr>
            <w:tcW w:type="dxa" w:w="1218"/>
          </w:tcPr>
          <w:p>
            <w:r>
              <w:t>12</w:t>
            </w:r>
          </w:p>
        </w:tc>
        <w:tc>
          <w:tcPr>
            <w:tcW w:type="dxa" w:w="1218"/>
          </w:tcPr>
          <w:p>
            <w:r>
              <w:t>9</w:t>
            </w:r>
          </w:p>
        </w:tc>
        <w:tc>
          <w:tcPr>
            <w:tcW w:type="dxa" w:w="1218"/>
          </w:tcPr>
          <w:p>
            <w:r>
              <w:t>13 200 000 ₽</w:t>
            </w:r>
          </w:p>
        </w:tc>
        <w:tc>
          <w:tcPr>
            <w:tcW w:type="dxa" w:w="1218"/>
          </w:tcPr>
          <w:p>
            <w:r>
              <w:t>14 850 000 ₽</w:t>
            </w:r>
          </w:p>
        </w:tc>
        <w:tc>
          <w:tcPr>
            <w:tcW w:type="dxa" w:w="1218"/>
          </w:tcPr>
          <w:p>
            <w:r>
              <w:t>24 750 000 ₽</w:t>
            </w:r>
          </w:p>
        </w:tc>
        <w:tc>
          <w:tcPr>
            <w:tcW w:type="dxa" w:w="1218"/>
          </w:tcPr>
          <w:p>
            <w:r>
              <w:t>2 640 000 ₽</w:t>
            </w:r>
          </w:p>
        </w:tc>
        <w:tc>
          <w:tcPr>
            <w:tcW w:type="dxa" w:w="1218"/>
          </w:tcPr>
          <w:p>
            <w:r>
              <w:t>55 440 000 ₽</w:t>
            </w:r>
          </w:p>
        </w:tc>
      </w:tr>
    </w:tbl>
    <w:p>
      <w:pPr>
        <w:pStyle w:val="Heading2"/>
      </w:pPr>
      <w:r>
        <w:t>6.2 Как читать сценарии</w:t>
      </w:r>
    </w:p>
    <w:p>
      <w:pPr>
        <w:pStyle w:val="ListBullet"/>
      </w:pPr>
      <w:r>
        <w:t>Conservative: меньше пилотов и ниже цена; конверсия в контракт низкая; подходит как нижняя граница риска.</w:t>
      </w:r>
    </w:p>
    <w:p>
      <w:pPr>
        <w:pStyle w:val="ListBullet"/>
      </w:pPr>
      <w:r>
        <w:t>Base: реалистичный план при дисциплине продаж и понятной упаковке пилота.</w:t>
      </w:r>
    </w:p>
    <w:p>
      <w:pPr>
        <w:pStyle w:val="ListBullet"/>
      </w:pPr>
      <w:r>
        <w:t>Aggressive: возможен при сильных партнерствах/интеграторах и высокой ценности отчета для холдинга.</w:t>
      </w:r>
    </w:p>
    <w:p>
      <w:pPr>
        <w:pStyle w:val="Heading2"/>
      </w:pPr>
      <w:r>
        <w:t>6.3 Повторяемость (Y2–Y3) — правила переноса</w:t>
      </w:r>
    </w:p>
    <w:p>
      <w:pPr>
        <w:pStyle w:val="ListBullet"/>
      </w:pPr>
      <w:r>
        <w:t>В Y2/Y3 добавляются новые контракты + продление старых (минус churn).</w:t>
      </w:r>
    </w:p>
    <w:p>
      <w:pPr>
        <w:pStyle w:val="ListBullet"/>
      </w:pPr>
      <w:r>
        <w:t>Выручка лицензий доминирует, если удержание хорошее; пилоты остаются как канал для новых клиентов.</w:t>
      </w:r>
    </w:p>
    <w:p>
      <w:pPr>
        <w:pStyle w:val="ListBullet"/>
      </w:pPr>
      <w:r>
        <w:t>При росте портфеля возрастает важность COGS (сопровождение данных) и стандартизации пайплайнов (Док.5).</w:t>
      </w:r>
    </w:p>
    <w:p>
      <w:r>
        <w:rPr>
          <w:b/>
        </w:rPr>
        <w:t xml:space="preserve">Примечание: </w:t>
      </w:r>
      <w:r>
        <w:t>В документной версии мы не приводим громоздкие помесячные таблицы. Для следующей итерации можно собрать XLSX с помесячными cashflow и планом найма.</w:t>
      </w:r>
    </w:p>
    <w:p>
      <w:pPr>
        <w:pStyle w:val="Heading1"/>
      </w:pPr>
      <w:r>
        <w:t>7. Юнит-экономика (как проверить, что модель «сходится»)</w:t>
      </w:r>
    </w:p>
    <w:p>
      <w:pPr>
        <w:pStyle w:val="Heading2"/>
      </w:pPr>
      <w:r>
        <w:t>7.1 Определения</w:t>
      </w:r>
    </w:p>
    <w:p>
      <w:pPr>
        <w:pStyle w:val="ListBullet"/>
      </w:pPr>
      <w:r>
        <w:t>ACV (annual contract value) = годовая лицензия (+ P1, если прикреплен).</w:t>
      </w:r>
    </w:p>
    <w:p>
      <w:pPr>
        <w:pStyle w:val="ListBullet"/>
      </w:pPr>
      <w:r>
        <w:t>Gross margin = 1 − COGS/Revenue (по лицензии).</w:t>
      </w:r>
    </w:p>
    <w:p>
      <w:pPr>
        <w:pStyle w:val="ListBullet"/>
      </w:pPr>
      <w:r>
        <w:t>CAC = стоимость привлечения клиента (зарплата продаж/маркетинг/поездки) / число новых контрактов.</w:t>
      </w:r>
    </w:p>
    <w:p>
      <w:pPr>
        <w:pStyle w:val="ListBullet"/>
      </w:pPr>
      <w:r>
        <w:t>LTV ≈ ACV * GrossMargin / Churn (в годовых величинах).</w:t>
      </w:r>
    </w:p>
    <w:p>
      <w:pPr>
        <w:pStyle w:val="Heading2"/>
      </w:pPr>
      <w:r>
        <w:t>7.2 Примерные ориентиры для MVP (целевые пороги)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Показатель</w:t>
            </w:r>
          </w:p>
        </w:tc>
        <w:tc>
          <w:tcPr>
            <w:tcW w:type="dxa" w:w="2436"/>
          </w:tcPr>
          <w:p>
            <w:r>
              <w:t>Минимально приемлемо</w:t>
            </w:r>
          </w:p>
        </w:tc>
        <w:tc>
          <w:tcPr>
            <w:tcW w:type="dxa" w:w="2436"/>
          </w:tcPr>
          <w:p>
            <w:r>
              <w:t>Желательно</w:t>
            </w:r>
          </w:p>
        </w:tc>
        <w:tc>
          <w:tcPr>
            <w:tcW w:type="dxa" w:w="2436"/>
          </w:tcPr>
          <w:p>
            <w:r>
              <w:t>Комментарий</w:t>
            </w:r>
          </w:p>
        </w:tc>
      </w:tr>
      <w:tr>
        <w:tc>
          <w:tcPr>
            <w:tcW w:type="dxa" w:w="2436"/>
          </w:tcPr>
          <w:p>
            <w:r>
              <w:t>Gross margin по лицензии</w:t>
            </w:r>
          </w:p>
        </w:tc>
        <w:tc>
          <w:tcPr>
            <w:tcW w:type="dxa" w:w="2436"/>
          </w:tcPr>
          <w:p>
            <w:r>
              <w:t>50%+</w:t>
            </w:r>
          </w:p>
        </w:tc>
        <w:tc>
          <w:tcPr>
            <w:tcW w:type="dxa" w:w="2436"/>
          </w:tcPr>
          <w:p>
            <w:r>
              <w:t>70%+</w:t>
            </w:r>
          </w:p>
        </w:tc>
        <w:tc>
          <w:tcPr>
            <w:tcW w:type="dxa" w:w="2436"/>
          </w:tcPr>
          <w:p>
            <w:r>
              <w:t>упирается в поддержку выгрузок и стандартизацию</w:t>
            </w:r>
          </w:p>
        </w:tc>
      </w:tr>
      <w:tr>
        <w:tc>
          <w:tcPr>
            <w:tcW w:type="dxa" w:w="2436"/>
          </w:tcPr>
          <w:p>
            <w:r>
              <w:t>Payback (CAC)</w:t>
            </w:r>
          </w:p>
        </w:tc>
        <w:tc>
          <w:tcPr>
            <w:tcW w:type="dxa" w:w="2436"/>
          </w:tcPr>
          <w:p>
            <w:r>
              <w:t>&lt; 12 месяцев</w:t>
            </w:r>
          </w:p>
        </w:tc>
        <w:tc>
          <w:tcPr>
            <w:tcW w:type="dxa" w:w="2436"/>
          </w:tcPr>
          <w:p>
            <w:r>
              <w:t>&lt; 6 месяцев</w:t>
            </w:r>
          </w:p>
        </w:tc>
        <w:tc>
          <w:tcPr>
            <w:tcW w:type="dxa" w:w="2436"/>
          </w:tcPr>
          <w:p>
            <w:r>
              <w:t>на MVP допускается ближе к 12м из-за пилотов</w:t>
            </w:r>
          </w:p>
        </w:tc>
      </w:tr>
      <w:tr>
        <w:tc>
          <w:tcPr>
            <w:tcW w:type="dxa" w:w="2436"/>
          </w:tcPr>
          <w:p>
            <w:r>
              <w:t>LTV/CAC</w:t>
            </w:r>
          </w:p>
        </w:tc>
        <w:tc>
          <w:tcPr>
            <w:tcW w:type="dxa" w:w="2436"/>
          </w:tcPr>
          <w:p>
            <w:r>
              <w:t>&gt; 3</w:t>
            </w:r>
          </w:p>
        </w:tc>
        <w:tc>
          <w:tcPr>
            <w:tcW w:type="dxa" w:w="2436"/>
          </w:tcPr>
          <w:p>
            <w:r>
              <w:t>&gt; 5</w:t>
            </w:r>
          </w:p>
        </w:tc>
        <w:tc>
          <w:tcPr>
            <w:tcW w:type="dxa" w:w="2436"/>
          </w:tcPr>
          <w:p>
            <w:r>
              <w:t>без удержания модель не масштабируется</w:t>
            </w:r>
          </w:p>
        </w:tc>
      </w:tr>
      <w:tr>
        <w:tc>
          <w:tcPr>
            <w:tcW w:type="dxa" w:w="2436"/>
          </w:tcPr>
          <w:p>
            <w:r>
              <w:t>Churn годовой</w:t>
            </w:r>
          </w:p>
        </w:tc>
        <w:tc>
          <w:tcPr>
            <w:tcW w:type="dxa" w:w="2436"/>
          </w:tcPr>
          <w:p>
            <w:r>
              <w:t>&lt; 20%</w:t>
            </w:r>
          </w:p>
        </w:tc>
        <w:tc>
          <w:tcPr>
            <w:tcW w:type="dxa" w:w="2436"/>
          </w:tcPr>
          <w:p>
            <w:r>
              <w:t>&lt; 10%</w:t>
            </w:r>
          </w:p>
        </w:tc>
        <w:tc>
          <w:tcPr>
            <w:tcW w:type="dxa" w:w="2436"/>
          </w:tcPr>
          <w:p>
            <w:r>
              <w:t>снижается, если отчет встроен в регламент фермы</w:t>
            </w:r>
          </w:p>
        </w:tc>
      </w:tr>
    </w:tbl>
    <w:p>
      <w:pPr>
        <w:pStyle w:val="Heading1"/>
      </w:pPr>
      <w:r>
        <w:t>8. Чувствительность (что сильнее всего влияет на финрезультат)</w:t>
      </w:r>
    </w:p>
    <w:p>
      <w:pPr>
        <w:pStyle w:val="ListBullet"/>
      </w:pPr>
      <w:r>
        <w:t>Конверсия пилот → контракт (самый важный параметр в первый год).</w:t>
      </w:r>
    </w:p>
    <w:p>
      <w:pPr>
        <w:pStyle w:val="ListBullet"/>
      </w:pPr>
      <w:r>
        <w:t>Себестоимость сопровождения данных (COGS): если на каждого клиента уходит слишком много ручного труда, маржа падает.</w:t>
      </w:r>
    </w:p>
    <w:p>
      <w:pPr>
        <w:pStyle w:val="ListBullet"/>
      </w:pPr>
      <w:r>
        <w:t>Цена годовой лицензии (ACV) и количество площадок на клиента: холдинги могут давать мультисайт эффект.</w:t>
      </w:r>
    </w:p>
    <w:p>
      <w:pPr>
        <w:pStyle w:val="ListBullet"/>
      </w:pPr>
      <w:r>
        <w:t>Удержание (churn): если отчет становится регулярным инструментом управления, удержание растет.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Параметр</w:t>
            </w:r>
          </w:p>
        </w:tc>
        <w:tc>
          <w:tcPr>
            <w:tcW w:type="dxa" w:w="3249"/>
          </w:tcPr>
          <w:p>
            <w:r>
              <w:t>Если ниже ожиданий</w:t>
            </w:r>
          </w:p>
        </w:tc>
        <w:tc>
          <w:tcPr>
            <w:tcW w:type="dxa" w:w="3249"/>
          </w:tcPr>
          <w:p>
            <w:r>
              <w:t>Как реагировать (рычаги)</w:t>
            </w:r>
          </w:p>
        </w:tc>
      </w:tr>
      <w:tr>
        <w:tc>
          <w:tcPr>
            <w:tcW w:type="dxa" w:w="3249"/>
          </w:tcPr>
          <w:p>
            <w:r>
              <w:t>Пилот → контракт</w:t>
            </w:r>
          </w:p>
        </w:tc>
        <w:tc>
          <w:tcPr>
            <w:tcW w:type="dxa" w:w="3249"/>
          </w:tcPr>
          <w:p>
            <w:r>
              <w:t>выручка падает, цикл удлиняется</w:t>
            </w:r>
          </w:p>
        </w:tc>
        <w:tc>
          <w:tcPr>
            <w:tcW w:type="dxa" w:w="3249"/>
          </w:tcPr>
          <w:p>
            <w:r>
              <w:t>перепаковать пилот (четкие KPI), усилить legal/ИБ пакет, добавить «data quality plan»</w:t>
            </w:r>
          </w:p>
        </w:tc>
      </w:tr>
      <w:tr>
        <w:tc>
          <w:tcPr>
            <w:tcW w:type="dxa" w:w="3249"/>
          </w:tcPr>
          <w:p>
            <w:r>
              <w:t>COGS сопровождения</w:t>
            </w:r>
          </w:p>
        </w:tc>
        <w:tc>
          <w:tcPr>
            <w:tcW w:type="dxa" w:w="3249"/>
          </w:tcPr>
          <w:p>
            <w:r>
              <w:t>маржа падает</w:t>
            </w:r>
          </w:p>
        </w:tc>
        <w:tc>
          <w:tcPr>
            <w:tcW w:type="dxa" w:w="3249"/>
          </w:tcPr>
          <w:p>
            <w:r>
              <w:t>формализовать маппинг/валидации, улучшить QC и шаблоны, обучить data steward на стороне клиента</w:t>
            </w:r>
          </w:p>
        </w:tc>
      </w:tr>
      <w:tr>
        <w:tc>
          <w:tcPr>
            <w:tcW w:type="dxa" w:w="3249"/>
          </w:tcPr>
          <w:p>
            <w:r>
              <w:t>ACV</w:t>
            </w:r>
          </w:p>
        </w:tc>
        <w:tc>
          <w:tcPr>
            <w:tcW w:type="dxa" w:w="3249"/>
          </w:tcPr>
          <w:p>
            <w:r>
              <w:t>не хватает денег на развитие</w:t>
            </w:r>
          </w:p>
        </w:tc>
        <w:tc>
          <w:tcPr>
            <w:tcW w:type="dxa" w:w="3249"/>
          </w:tcPr>
          <w:p>
            <w:r>
              <w:t>перейти на price per site + setup, добавить P1-модули, продавать холдингам пакет площадок</w:t>
            </w:r>
          </w:p>
        </w:tc>
      </w:tr>
      <w:tr>
        <w:tc>
          <w:tcPr>
            <w:tcW w:type="dxa" w:w="3249"/>
          </w:tcPr>
          <w:p>
            <w:r>
              <w:t>Churn</w:t>
            </w:r>
          </w:p>
        </w:tc>
        <w:tc>
          <w:tcPr>
            <w:tcW w:type="dxa" w:w="3249"/>
          </w:tcPr>
          <w:p>
            <w:r>
              <w:t>LTV падает</w:t>
            </w:r>
          </w:p>
        </w:tc>
        <w:tc>
          <w:tcPr>
            <w:tcW w:type="dxa" w:w="3249"/>
          </w:tcPr>
          <w:p>
            <w:r>
              <w:t>встроить отчет в регламент, добавить «журнал решений» и KPI прогресса, улучшить доверие к модели</w:t>
            </w:r>
          </w:p>
        </w:tc>
      </w:tr>
    </w:tbl>
    <w:p>
      <w:pPr>
        <w:pStyle w:val="Heading1"/>
      </w:pPr>
      <w:r>
        <w:t>9. Что нужно валидировать интервью и пилотами (чек-лист)</w:t>
      </w:r>
    </w:p>
    <w:p>
      <w:pPr>
        <w:pStyle w:val="ListBullet"/>
      </w:pPr>
      <w:r>
        <w:t>Готовность платить: сколько платят за пилот и за годовой контракт (по сегментам).</w:t>
      </w:r>
    </w:p>
    <w:p>
      <w:pPr>
        <w:pStyle w:val="ListBullet"/>
      </w:pPr>
      <w:r>
        <w:t>Фактическая стоимость внедрения: сколько часов уходит на выгрузки/маппинг/согласования.</w:t>
      </w:r>
    </w:p>
    <w:p>
      <w:pPr>
        <w:pStyle w:val="ListBullet"/>
      </w:pPr>
      <w:r>
        <w:t>Требования к on-prem и ИБ: влияет на длительность сделки и стоимость сопровождения.</w:t>
      </w:r>
    </w:p>
    <w:p>
      <w:pPr>
        <w:pStyle w:val="ListBullet"/>
      </w:pPr>
      <w:r>
        <w:t>Какие решения клиент реально готов принимать по AI-отчету (ядро/выбраковка/приоритет осеменения).</w:t>
      </w:r>
    </w:p>
    <w:p>
      <w:pPr>
        <w:pStyle w:val="ListBullet"/>
      </w:pPr>
      <w:r>
        <w:t>Удержание: будет ли отчет регулярным (ежемесячно/ежеквартально) и кто «владелец процесса».</w:t>
      </w:r>
    </w:p>
    <w:p>
      <w:pPr>
        <w:pStyle w:val="Heading1"/>
      </w:pPr>
      <w:r>
        <w:t>Приложение. Связь с другими документами</w:t>
      </w:r>
    </w:p>
    <w:p>
      <w:pPr>
        <w:pStyle w:val="ListBullet"/>
      </w:pPr>
      <w:r>
        <w:t>Док.1: юридический пакет (NDA, права на результаты, on-prem требования).</w:t>
      </w:r>
    </w:p>
    <w:p>
      <w:pPr>
        <w:pStyle w:val="ListBullet"/>
      </w:pPr>
      <w:r>
        <w:t>Док.3: юзкейсы — что обещаем на пилоте и в контракте.</w:t>
      </w:r>
    </w:p>
    <w:p>
      <w:pPr>
        <w:pStyle w:val="ListBullet"/>
      </w:pPr>
      <w:r>
        <w:t>Док.4: данные — что просим и как уменьшаем риск ‘грязных’ данных.</w:t>
      </w:r>
    </w:p>
    <w:p>
      <w:pPr>
        <w:pStyle w:val="ListBullet"/>
      </w:pPr>
      <w:r>
        <w:t>Док.5: пайплайны — стандартизация снижает COGS и повышает конверсию пилотов.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