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A801" w14:textId="77777777" w:rsidR="00246465" w:rsidRDefault="00E50466">
      <w:pPr>
        <w:spacing w:before="1200" w:after="240"/>
        <w:jc w:val="center"/>
      </w:pPr>
      <w:r>
        <w:rPr>
          <w:b/>
          <w:bCs/>
          <w:color w:val="1F3864"/>
          <w:sz w:val="40"/>
          <w:szCs w:val="40"/>
        </w:rPr>
        <w:t>REDATA, data centers e mercado de capitais:</w:t>
      </w:r>
    </w:p>
    <w:p w14:paraId="7037F35F" w14:textId="77777777" w:rsidR="00246465" w:rsidRDefault="00E50466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Reação das ações de energia, mineração e siderurgia na B3</w:t>
      </w:r>
    </w:p>
    <w:p w14:paraId="2D806884" w14:textId="77777777" w:rsidR="00246465" w:rsidRDefault="00E50466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>Modelo de Estudo de Evento aplicado às ações dos setores afetados pela MP 1.318/2025</w:t>
      </w:r>
    </w:p>
    <w:p w14:paraId="32366419" w14:textId="77777777" w:rsidR="00246465" w:rsidRDefault="00E50466">
      <w:pPr>
        <w:spacing w:after="200"/>
        <w:jc w:val="center"/>
      </w:pPr>
      <w:r>
        <w:t>Disciplina: Processos de Análise de Dados</w:t>
      </w:r>
    </w:p>
    <w:p w14:paraId="6BAAEC3F" w14:textId="77777777" w:rsidR="00246465" w:rsidRDefault="00E50466">
      <w:pPr>
        <w:spacing w:after="200"/>
        <w:jc w:val="center"/>
      </w:pPr>
      <w:r>
        <w:rPr>
          <w:b/>
          <w:bCs/>
        </w:rPr>
        <w:t>Entrega: Modelo e Conclusão</w:t>
      </w:r>
    </w:p>
    <w:p w14:paraId="17360C93" w14:textId="77777777" w:rsidR="00246465" w:rsidRDefault="00E50466">
      <w:pPr>
        <w:spacing w:after="1200"/>
        <w:jc w:val="center"/>
      </w:pPr>
      <w:r>
        <w:t>Maio de 2026</w:t>
      </w:r>
    </w:p>
    <w:p w14:paraId="0F8D153C" w14:textId="77777777" w:rsidR="00246465" w:rsidRDefault="00E50466">
      <w:r>
        <w:br w:type="page"/>
      </w:r>
    </w:p>
    <w:p w14:paraId="32744A42" w14:textId="77777777" w:rsidR="00246465" w:rsidRDefault="00E50466">
      <w:pPr>
        <w:pStyle w:val="Ttulo1"/>
      </w:pPr>
      <w:r>
        <w:lastRenderedPageBreak/>
        <w:t>1. Modelo de Análise</w:t>
      </w:r>
    </w:p>
    <w:p w14:paraId="325186F1" w14:textId="77777777" w:rsidR="00246465" w:rsidRDefault="00E50466">
      <w:pPr>
        <w:pStyle w:val="Ttulo2"/>
      </w:pPr>
      <w:r>
        <w:t>1.1 Definição do modelo</w:t>
      </w:r>
    </w:p>
    <w:p w14:paraId="7CB29188" w14:textId="77777777" w:rsidR="00246465" w:rsidRDefault="00E50466">
      <w:pPr>
        <w:spacing w:after="120" w:line="320" w:lineRule="auto"/>
        <w:jc w:val="both"/>
      </w:pPr>
      <w:r>
        <w:t>O modelo usado neste trabalho é o de Estudo de Evento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>). É um método bastante usado em finanças para medir o efeito que um evento específico tem sobre o preço de um ativo. A ideia básica é comparar o que aconteceu com o preço da ação em torno da data do evento com o que estava acontecendo no mercado em geral, isolando assim a parcela do movimento que pode ser atribuída ao evento.</w:t>
      </w:r>
    </w:p>
    <w:p w14:paraId="69860145" w14:textId="77777777" w:rsidR="00246465" w:rsidRDefault="00E50466">
      <w:pPr>
        <w:spacing w:after="120" w:line="320" w:lineRule="auto"/>
        <w:jc w:val="both"/>
      </w:pPr>
      <w:r>
        <w:t>Esse modelo serve bem ao caso do REDATA (Regime Especial de Tributação para Serviços de Data Center) porque o assunto teve marcos pontuais e bem datados — a edição da MP, a publicação no Diário Oficial, a aprovação na Câmara, a caducidade. Cada um desses momentos é um candidato natural a evento de estudo. O enquadramento também segue o Passo 5 do processo de análise de dados visto na Aula 2 (Análise Estatística), no qual a ideia é justamente aplicar uma técnica para extrair conclusões a partir dos dados col</w:t>
      </w:r>
      <w:r>
        <w:t>etados.</w:t>
      </w:r>
    </w:p>
    <w:p w14:paraId="54EB9F70" w14:textId="77777777" w:rsidR="00246465" w:rsidRDefault="00E50466">
      <w:pPr>
        <w:pStyle w:val="Ttulo2"/>
      </w:pPr>
      <w:r>
        <w:t>1.2 Pergunta de pesquisa e hipóteses</w:t>
      </w:r>
    </w:p>
    <w:p w14:paraId="6E5070B0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 xml:space="preserve">Pergunta de pesquisa: </w:t>
      </w:r>
      <w:r>
        <w:t>os anúncios ligados ao REDATA produziram movimentos atípicos nos preços das ações dos setores afetados (energia, mineração e siderurgia) na B3?</w:t>
      </w:r>
    </w:p>
    <w:p w14:paraId="1F000A73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>Hipótese nula (H</w:t>
      </w:r>
      <w:r>
        <w:rPr>
          <w:b/>
          <w:bCs/>
          <w:vertAlign w:val="superscript"/>
        </w:rPr>
        <w:t>0</w:t>
      </w:r>
      <w:r>
        <w:rPr>
          <w:b/>
          <w:bCs/>
        </w:rPr>
        <w:t xml:space="preserve">): </w:t>
      </w:r>
      <w:r>
        <w:t>os eventos não alteraram o comportamento dos preços nas janelas analisadas.</w:t>
      </w:r>
    </w:p>
    <w:p w14:paraId="5F9D90A7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>Hipótese alternativa (H</w:t>
      </w:r>
      <w:r>
        <w:rPr>
          <w:b/>
          <w:bCs/>
          <w:vertAlign w:val="superscript"/>
        </w:rPr>
        <w:t>1</w:t>
      </w:r>
      <w:r>
        <w:rPr>
          <w:b/>
          <w:bCs/>
        </w:rPr>
        <w:t xml:space="preserve">): </w:t>
      </w:r>
      <w:r>
        <w:t>os eventos provocaram variações sistemáticas nos preços, visíveis dentro da janela do evento.</w:t>
      </w:r>
    </w:p>
    <w:p w14:paraId="3AC33D52" w14:textId="77777777" w:rsidR="00246465" w:rsidRDefault="00E50466">
      <w:pPr>
        <w:pStyle w:val="Ttulo2"/>
      </w:pPr>
      <w:r>
        <w:t>1.3 Variáveis e definições operacionais</w:t>
      </w:r>
    </w:p>
    <w:p w14:paraId="6F1446C8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 xml:space="preserve">Janela do evento: </w:t>
      </w:r>
      <w:r>
        <w:t>11 dias úteis em volta de cada data crítica — 5 pregões antes, o dia do evento e 5 pregões depois.</w:t>
      </w:r>
    </w:p>
    <w:p w14:paraId="77EC583F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>Preço de fechamento (</w:t>
      </w:r>
      <w:proofErr w:type="spellStart"/>
      <w:r>
        <w:rPr>
          <w:b/>
          <w:bCs/>
        </w:rPr>
        <w:t>P</w:t>
      </w:r>
      <w:r>
        <w:rPr>
          <w:b/>
          <w:bCs/>
          <w:i/>
          <w:iCs/>
        </w:rPr>
        <w:t>t</w:t>
      </w:r>
      <w:proofErr w:type="spellEnd"/>
      <w:r>
        <w:rPr>
          <w:b/>
          <w:bCs/>
        </w:rPr>
        <w:t xml:space="preserve">): </w:t>
      </w:r>
      <w:r>
        <w:t>valor de fechamento ajustado da ação no dia t, coletado da fonte oficial via API.</w:t>
      </w:r>
    </w:p>
    <w:p w14:paraId="410250D0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 xml:space="preserve">Variação na janela: </w:t>
      </w:r>
      <w:r>
        <w:t xml:space="preserve">comparação direta entre o preço de fechamento no dia -5 e o preço no dia +5, expressa em percentual. É uma medida descritiva simples, que cabe dentro do que foi visto em aula (operações com colunas de </w:t>
      </w:r>
      <w:proofErr w:type="spellStart"/>
      <w:r>
        <w:t>DataFrame</w:t>
      </w:r>
      <w:proofErr w:type="spellEnd"/>
      <w:r>
        <w:t xml:space="preserve"> — Aula 4).</w:t>
      </w:r>
    </w:p>
    <w:p w14:paraId="10E31302" w14:textId="77777777" w:rsidR="00246465" w:rsidRDefault="00E50466">
      <w:pPr>
        <w:spacing w:before="120" w:after="120"/>
        <w:jc w:val="center"/>
      </w:pPr>
      <w:proofErr w:type="gramStart"/>
      <w:r>
        <w:rPr>
          <w:b/>
          <w:bCs/>
          <w:i/>
          <w:iCs/>
        </w:rPr>
        <w:t>Variação(</w:t>
      </w:r>
      <w:proofErr w:type="gramEnd"/>
      <w:r>
        <w:rPr>
          <w:b/>
          <w:bCs/>
          <w:i/>
          <w:iCs/>
        </w:rPr>
        <w:t>%) = (</w:t>
      </w:r>
      <w:proofErr w:type="gramStart"/>
      <w:r>
        <w:rPr>
          <w:b/>
          <w:bCs/>
          <w:i/>
          <w:iCs/>
        </w:rPr>
        <w:t>P(</w:t>
      </w:r>
      <w:proofErr w:type="gramEnd"/>
      <w:r>
        <w:rPr>
          <w:b/>
          <w:bCs/>
          <w:i/>
          <w:iCs/>
        </w:rPr>
        <w:t xml:space="preserve">+5) / </w:t>
      </w:r>
      <w:proofErr w:type="gramStart"/>
      <w:r>
        <w:rPr>
          <w:b/>
          <w:bCs/>
          <w:i/>
          <w:iCs/>
        </w:rPr>
        <w:t>P(</w:t>
      </w:r>
      <w:proofErr w:type="gramEnd"/>
      <w:r>
        <w:rPr>
          <w:b/>
          <w:bCs/>
          <w:i/>
          <w:iCs/>
        </w:rPr>
        <w:t>-5) − 1) × 100</w:t>
      </w:r>
    </w:p>
    <w:p w14:paraId="725CE63A" w14:textId="77777777" w:rsidR="00246465" w:rsidRDefault="00E50466">
      <w:pPr>
        <w:spacing w:after="120" w:line="320" w:lineRule="auto"/>
        <w:jc w:val="both"/>
      </w:pPr>
      <w:r>
        <w:t>Outras métricas que costumam aparecer em estudos de evento — retorno diário (</w:t>
      </w:r>
      <w:proofErr w:type="spellStart"/>
      <w:r>
        <w:t>pct_change</w:t>
      </w:r>
      <w:proofErr w:type="spellEnd"/>
      <w:r>
        <w:t xml:space="preserve">), retorno anormal em relação ao Ibovespa e CAR (retorno anormal </w:t>
      </w:r>
      <w:r>
        <w:lastRenderedPageBreak/>
        <w:t>acumulado) — foram implementadas em um arquivo paralelo de trabalho. Esses cálculos usam funções do Pandas que ficaram fora do conteúdo das aulas (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pct_change</w:t>
      </w:r>
      <w:proofErr w:type="spellEnd"/>
      <w:r>
        <w:t>, merge), por isso aqui o foco fica só no que foi ensinado em sala.</w:t>
      </w:r>
    </w:p>
    <w:p w14:paraId="70F9293E" w14:textId="77777777" w:rsidR="00246465" w:rsidRDefault="00E50466">
      <w:pPr>
        <w:pStyle w:val="Ttulo2"/>
      </w:pPr>
      <w:r>
        <w:t>1.4 Amostra</w:t>
      </w:r>
    </w:p>
    <w:p w14:paraId="21B01833" w14:textId="77777777" w:rsidR="00246465" w:rsidRDefault="00E50466">
      <w:pPr>
        <w:spacing w:after="120" w:line="320" w:lineRule="auto"/>
        <w:jc w:val="both"/>
      </w:pPr>
      <w:r>
        <w:t>A amostra tem 15 ações listadas na B3, divididas em três setores que têm relação direta com a operação de data centers no Brasil: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5850"/>
      </w:tblGrid>
      <w:tr w:rsidR="00246465" w14:paraId="2AA34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D2CEC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Setor</w:t>
            </w:r>
          </w:p>
        </w:tc>
        <w:tc>
          <w:tcPr>
            <w:tcW w:w="1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1561D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Nº ações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18475" w14:textId="77777777" w:rsidR="00246465" w:rsidRDefault="00E5046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Tickers</w:t>
            </w:r>
            <w:proofErr w:type="spellEnd"/>
          </w:p>
        </w:tc>
      </w:tr>
      <w:tr w:rsidR="00246465" w14:paraId="4CE588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382F2" w14:textId="77777777" w:rsidR="00246465" w:rsidRDefault="00E50466">
            <w:r>
              <w:rPr>
                <w:sz w:val="22"/>
                <w:szCs w:val="22"/>
              </w:rPr>
              <w:t>Energia</w:t>
            </w:r>
          </w:p>
        </w:tc>
        <w:tc>
          <w:tcPr>
            <w:tcW w:w="1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363D0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923F8" w14:textId="77777777" w:rsidR="00246465" w:rsidRDefault="00E50466">
            <w:r>
              <w:rPr>
                <w:sz w:val="22"/>
                <w:szCs w:val="22"/>
              </w:rPr>
              <w:t>AXIA3, EGIE3, TAEE11, CPLE3, CMIG4, EQTL3, ISAE4, NEOE3</w:t>
            </w:r>
          </w:p>
        </w:tc>
      </w:tr>
      <w:tr w:rsidR="00246465" w14:paraId="47C61A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10AE3" w14:textId="77777777" w:rsidR="00246465" w:rsidRDefault="00E50466">
            <w:r>
              <w:rPr>
                <w:sz w:val="22"/>
                <w:szCs w:val="22"/>
              </w:rPr>
              <w:t>Siderurgia e metais</w:t>
            </w:r>
          </w:p>
        </w:tc>
        <w:tc>
          <w:tcPr>
            <w:tcW w:w="1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B7690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052D1" w14:textId="77777777" w:rsidR="00246465" w:rsidRDefault="00E50466">
            <w:r>
              <w:rPr>
                <w:sz w:val="22"/>
                <w:szCs w:val="22"/>
              </w:rPr>
              <w:t>GGBR4, CSNA3, USIM5, CBAV3</w:t>
            </w:r>
          </w:p>
        </w:tc>
      </w:tr>
      <w:tr w:rsidR="00246465" w14:paraId="7F3AAB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CF2D7" w14:textId="77777777" w:rsidR="00246465" w:rsidRDefault="00E50466">
            <w:r>
              <w:rPr>
                <w:sz w:val="22"/>
                <w:szCs w:val="22"/>
              </w:rPr>
              <w:t>Mineração</w:t>
            </w:r>
          </w:p>
        </w:tc>
        <w:tc>
          <w:tcPr>
            <w:tcW w:w="1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CF247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77544" w14:textId="77777777" w:rsidR="00246465" w:rsidRDefault="00E50466">
            <w:r>
              <w:rPr>
                <w:sz w:val="22"/>
                <w:szCs w:val="22"/>
              </w:rPr>
              <w:t>VALE3, CMIN3, AURA33</w:t>
            </w:r>
          </w:p>
        </w:tc>
      </w:tr>
      <w:tr w:rsidR="00246465" w14:paraId="7077D8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4CD2C" w14:textId="77777777" w:rsidR="00246465" w:rsidRDefault="00E50466">
            <w:r>
              <w:rPr>
                <w:b/>
                <w:bCs/>
                <w:sz w:val="22"/>
                <w:szCs w:val="22"/>
              </w:rPr>
              <w:t>Referência de mercado</w:t>
            </w:r>
          </w:p>
        </w:tc>
        <w:tc>
          <w:tcPr>
            <w:tcW w:w="1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FD6BE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E14FC" w14:textId="77777777" w:rsidR="00246465" w:rsidRDefault="00E50466">
            <w:r>
              <w:rPr>
                <w:b/>
                <w:bCs/>
                <w:sz w:val="22"/>
                <w:szCs w:val="22"/>
              </w:rPr>
              <w:t>Ibovespa (IBOV)</w:t>
            </w:r>
          </w:p>
        </w:tc>
      </w:tr>
    </w:tbl>
    <w:p w14:paraId="40C6B361" w14:textId="77777777" w:rsidR="00246465" w:rsidRDefault="00E50466">
      <w:pPr>
        <w:spacing w:after="120" w:line="320" w:lineRule="auto"/>
        <w:jc w:val="both"/>
      </w:pPr>
      <w:r>
        <w:t xml:space="preserve">O período coletado vai de 01/03/2025 a 15/05/2026. No total, o </w:t>
      </w:r>
      <w:proofErr w:type="spellStart"/>
      <w:r>
        <w:t>DataFrame</w:t>
      </w:r>
      <w:proofErr w:type="spellEnd"/>
      <w:r>
        <w:t xml:space="preserve"> consolidado (</w:t>
      </w:r>
      <w:proofErr w:type="spellStart"/>
      <w:r>
        <w:t>df_precos</w:t>
      </w:r>
      <w:proofErr w:type="spellEnd"/>
      <w:r>
        <w:t xml:space="preserve">) ficou com 4.476 linhas, distribuídas em 15 séries de preço. Os dados vieram da API REST do Laboratório de Finanças (Aula 6 — API REST) e foram juntados em um </w:t>
      </w:r>
      <w:proofErr w:type="spellStart"/>
      <w:r>
        <w:t>DataFrame</w:t>
      </w:r>
      <w:proofErr w:type="spellEnd"/>
      <w:r>
        <w:t xml:space="preserve"> só com </w:t>
      </w:r>
      <w:proofErr w:type="spellStart"/>
      <w:proofErr w:type="gramStart"/>
      <w:r>
        <w:t>pd.concat</w:t>
      </w:r>
      <w:proofErr w:type="spellEnd"/>
      <w:proofErr w:type="gramEnd"/>
      <w:r>
        <w:t xml:space="preserve"> (Aula 4).</w:t>
      </w:r>
    </w:p>
    <w:p w14:paraId="21DC7312" w14:textId="77777777" w:rsidR="00246465" w:rsidRDefault="00E50466">
      <w:pPr>
        <w:pStyle w:val="Ttulo2"/>
      </w:pPr>
      <w:r>
        <w:t>1.5 Eventos analisados</w:t>
      </w:r>
    </w:p>
    <w:p w14:paraId="2137436C" w14:textId="77777777" w:rsidR="00246465" w:rsidRDefault="00E50466">
      <w:pPr>
        <w:spacing w:after="120" w:line="320" w:lineRule="auto"/>
        <w:jc w:val="both"/>
      </w:pPr>
      <w:r>
        <w:t>Foram selecionados 8 marcos da tramitação do REDATA, do antecedente até a caducidade da MP: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246465" w14:paraId="31D83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23D74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Cód.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C8653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9E94E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Evento</w:t>
            </w:r>
          </w:p>
        </w:tc>
      </w:tr>
      <w:tr w:rsidR="00246465" w14:paraId="769DD9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7B6BC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A1BD2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18/07/2025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A12BD" w14:textId="77777777" w:rsidR="00246465" w:rsidRDefault="00E50466">
            <w:r>
              <w:rPr>
                <w:sz w:val="22"/>
                <w:szCs w:val="22"/>
              </w:rPr>
              <w:t>MP 1.307 — Zonas de Processamento de Exportação (antecedente)</w:t>
            </w:r>
          </w:p>
        </w:tc>
      </w:tr>
      <w:tr w:rsidR="00246465" w14:paraId="07CBB8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D81EE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E4221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17/09/2025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BCE72" w14:textId="77777777" w:rsidR="00246465" w:rsidRDefault="00E50466">
            <w:r>
              <w:rPr>
                <w:sz w:val="22"/>
                <w:szCs w:val="22"/>
              </w:rPr>
              <w:t>Edição da MP 1.318 — instituição do REDATA</w:t>
            </w:r>
          </w:p>
        </w:tc>
      </w:tr>
      <w:tr w:rsidR="00246465" w14:paraId="0E61D8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DF5C1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9C00F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18/09/2025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9DC36" w14:textId="77777777" w:rsidR="00246465" w:rsidRDefault="00E50466">
            <w:r>
              <w:rPr>
                <w:sz w:val="22"/>
                <w:szCs w:val="22"/>
              </w:rPr>
              <w:t>Publicação da MP 1.318 no Diário Oficial da União</w:t>
            </w:r>
          </w:p>
        </w:tc>
      </w:tr>
      <w:tr w:rsidR="00246465" w14:paraId="69FCA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BEBB6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E81F3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04/02/2026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C4981" w14:textId="77777777" w:rsidR="00246465" w:rsidRDefault="00E50466">
            <w:r>
              <w:rPr>
                <w:sz w:val="22"/>
                <w:szCs w:val="22"/>
              </w:rPr>
              <w:t>Protocolo do PL 278/2026 (tentativa de conversão em lei)</w:t>
            </w:r>
          </w:p>
        </w:tc>
      </w:tr>
      <w:tr w:rsidR="00246465" w14:paraId="7A6D3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6663D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D0243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10/02/2026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C7E7C" w14:textId="77777777" w:rsidR="00246465" w:rsidRDefault="00E50466">
            <w:r>
              <w:rPr>
                <w:sz w:val="22"/>
                <w:szCs w:val="22"/>
              </w:rPr>
              <w:t>Aprovação da urgência na Câmara dos Deputados</w:t>
            </w:r>
          </w:p>
        </w:tc>
      </w:tr>
      <w:tr w:rsidR="00246465" w14:paraId="1D5A38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DD43E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4351A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25/02/2026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5F379" w14:textId="77777777" w:rsidR="00246465" w:rsidRDefault="00E50466">
            <w:r>
              <w:rPr>
                <w:sz w:val="22"/>
                <w:szCs w:val="22"/>
              </w:rPr>
              <w:t>Aprovação do PL na Câmara (madrugada de 24-25/02)</w:t>
            </w:r>
          </w:p>
        </w:tc>
      </w:tr>
      <w:tr w:rsidR="00246465" w14:paraId="276F23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EEFE3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5B25B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25/02/2026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80D33" w14:textId="77777777" w:rsidR="00246465" w:rsidRDefault="00E50466">
            <w:r>
              <w:rPr>
                <w:sz w:val="22"/>
                <w:szCs w:val="22"/>
              </w:rPr>
              <w:t>Senado não vota o projeto</w:t>
            </w:r>
          </w:p>
        </w:tc>
      </w:tr>
      <w:tr w:rsidR="00246465" w14:paraId="264C1A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504F6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C388B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25/02/2026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20AFC" w14:textId="77777777" w:rsidR="00246465" w:rsidRDefault="00E50466">
            <w:r>
              <w:rPr>
                <w:sz w:val="22"/>
                <w:szCs w:val="22"/>
              </w:rPr>
              <w:t>Caducidade da MP 1.318</w:t>
            </w:r>
          </w:p>
        </w:tc>
      </w:tr>
    </w:tbl>
    <w:p w14:paraId="50B0A99E" w14:textId="77777777" w:rsidR="00246465" w:rsidRDefault="00E50466">
      <w:pPr>
        <w:spacing w:after="120" w:line="320" w:lineRule="auto"/>
        <w:jc w:val="both"/>
      </w:pPr>
      <w:r>
        <w:rPr>
          <w:b/>
          <w:bCs/>
        </w:rPr>
        <w:t xml:space="preserve">Observação metodológica: </w:t>
      </w:r>
      <w:r>
        <w:t xml:space="preserve">os eventos E6, E7 e E8 caem na mesma data (25/02/2026). Como a janela do evento é definida pela data, os três acabam </w:t>
      </w:r>
      <w:r>
        <w:lastRenderedPageBreak/>
        <w:t xml:space="preserve">compartilhando exatamente os mesmos pregões e, por consequência, as mesmas medidas de variação. Isso não é erro de código nem coincidência estatística: é o que aconteceu </w:t>
      </w:r>
      <w:proofErr w:type="gramStart"/>
      <w:r>
        <w:t>na vida real</w:t>
      </w:r>
      <w:proofErr w:type="gramEnd"/>
      <w:r>
        <w:t xml:space="preserve">, com os três fatos ocorrendo no mesmo dia. Na hora de discutir os resultados, eles são tratados como um </w:t>
      </w:r>
      <w:r>
        <w:rPr>
          <w:b/>
          <w:bCs/>
          <w:i/>
          <w:iCs/>
        </w:rPr>
        <w:t>evento composto do dia 25/02</w:t>
      </w:r>
      <w:r>
        <w:t>.</w:t>
      </w:r>
    </w:p>
    <w:p w14:paraId="2467F7DA" w14:textId="77777777" w:rsidR="00246465" w:rsidRDefault="00E50466">
      <w:pPr>
        <w:pStyle w:val="Ttulo2"/>
      </w:pPr>
      <w:r>
        <w:t>1.6 Procedimento de análise (pipeline implementado)</w:t>
      </w:r>
    </w:p>
    <w:p w14:paraId="439C3DC9" w14:textId="77777777" w:rsidR="00246465" w:rsidRDefault="00E50466">
      <w:pPr>
        <w:spacing w:after="120" w:line="320" w:lineRule="auto"/>
        <w:jc w:val="both"/>
      </w:pPr>
      <w:r>
        <w:t>Todo o procedimento foi feito em Python, seguindo os 6 passos do processo de análise de dados apresentado na Aula 2:</w:t>
      </w:r>
    </w:p>
    <w:p w14:paraId="5BFB2ED2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>Passo 1 — Definição de objetivos: pergunta de pesquisa e hipóteses formuladas (item 1.2).</w:t>
      </w:r>
    </w:p>
    <w:p w14:paraId="4E401038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Passo 2 — Coleta de dados: 15 chamadas GET à API do Laboratório de Finanças, mais 1 chamada para o Ibovespa (Aula 6: API REST, </w:t>
      </w:r>
      <w:proofErr w:type="spellStart"/>
      <w:r>
        <w:t>status_code</w:t>
      </w:r>
      <w:proofErr w:type="spellEnd"/>
      <w:r>
        <w:t>, JSON).</w:t>
      </w:r>
    </w:p>
    <w:p w14:paraId="0ABB1DB2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Passo 3 — Limpeza e pré-processamento: validação dos códigos das ações por </w:t>
      </w:r>
      <w:proofErr w:type="spellStart"/>
      <w:r>
        <w:t>regex</w:t>
      </w:r>
      <w:proofErr w:type="spellEnd"/>
      <w:r>
        <w:t xml:space="preserve"> no padrão da B3 (Aula </w:t>
      </w:r>
      <w:proofErr w:type="spellStart"/>
      <w:r>
        <w:t>Regex</w:t>
      </w:r>
      <w:proofErr w:type="spellEnd"/>
      <w:r>
        <w:t xml:space="preserve">), conversão da coluna de data e checagem de </w:t>
      </w:r>
      <w:proofErr w:type="spellStart"/>
      <w:r>
        <w:t>NaN</w:t>
      </w:r>
      <w:proofErr w:type="spellEnd"/>
      <w:r>
        <w:t xml:space="preserve"> (Aula 4).</w:t>
      </w:r>
    </w:p>
    <w:p w14:paraId="476EF7FA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Passo 4 — Análise exploratória: shape do 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head</w:t>
      </w:r>
      <w:proofErr w:type="spellEnd"/>
      <w:r>
        <w:t xml:space="preserve">, contagem de valores ausentes e geração de 24 tabelas de janela -5/+5 (3 setores × 8 eventos), construídas via dicionário → </w:t>
      </w:r>
      <w:proofErr w:type="spellStart"/>
      <w:r>
        <w:t>DataFrame</w:t>
      </w:r>
      <w:proofErr w:type="spellEnd"/>
      <w:r>
        <w:t xml:space="preserve"> (Aula 5).</w:t>
      </w:r>
    </w:p>
    <w:p w14:paraId="072C0226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Passo 5 — Análise descritiva da janela: variação percentual entre dia -5 e dia +5 para cada combinação ação/evento, calculada com aritmética simples sobre o </w:t>
      </w:r>
      <w:proofErr w:type="spellStart"/>
      <w:r>
        <w:t>DataFrame</w:t>
      </w:r>
      <w:proofErr w:type="spellEnd"/>
      <w:r>
        <w:t>.</w:t>
      </w:r>
    </w:p>
    <w:p w14:paraId="3E5B147E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>Passo 6 — Comunicação: organização dos resultados em tabelas e síntese (parte 2 deste documento).</w:t>
      </w:r>
    </w:p>
    <w:p w14:paraId="472DF173" w14:textId="77777777" w:rsidR="00246465" w:rsidRDefault="00E50466">
      <w:pPr>
        <w:pStyle w:val="Ttulo2"/>
      </w:pPr>
      <w:r>
        <w:t>1.7 Conceitos das aulas utilizados</w:t>
      </w:r>
    </w:p>
    <w:p w14:paraId="4894B426" w14:textId="77777777" w:rsidR="00246465" w:rsidRDefault="00E50466">
      <w:pPr>
        <w:spacing w:after="120" w:line="320" w:lineRule="auto"/>
        <w:jc w:val="both"/>
      </w:pPr>
      <w:r>
        <w:t>O trabalho ficou restrito aos conceitos abordados nas seguintes aulas:</w:t>
      </w:r>
    </w:p>
    <w:p w14:paraId="0BCFFAD0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Aula 1 — Stack: Python, </w:t>
      </w:r>
      <w:proofErr w:type="gramStart"/>
      <w:r>
        <w:t>Pandas</w:t>
      </w:r>
      <w:proofErr w:type="gramEnd"/>
      <w:r>
        <w:t xml:space="preserve">, módulo </w:t>
      </w:r>
      <w:proofErr w:type="spellStart"/>
      <w:r>
        <w:t>requests</w:t>
      </w:r>
      <w:proofErr w:type="spellEnd"/>
      <w:r>
        <w:t xml:space="preserve">, módulo </w:t>
      </w:r>
      <w:proofErr w:type="spellStart"/>
      <w:r>
        <w:t>re</w:t>
      </w:r>
      <w:proofErr w:type="spellEnd"/>
      <w:r>
        <w:t>.</w:t>
      </w:r>
    </w:p>
    <w:p w14:paraId="44D5AB58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>Aula 2 — Os seis passos do processo de análise de dados.</w:t>
      </w:r>
    </w:p>
    <w:p w14:paraId="541B2822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>Aula 3 — Variáveis, listas, dicionários, loops, condicionais, f-</w:t>
      </w:r>
      <w:proofErr w:type="spellStart"/>
      <w:r>
        <w:t>strings</w:t>
      </w:r>
      <w:proofErr w:type="spellEnd"/>
      <w:r>
        <w:t>.</w:t>
      </w:r>
    </w:p>
    <w:p w14:paraId="30DF8009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Aula 4 — </w:t>
      </w:r>
      <w:proofErr w:type="spellStart"/>
      <w:r>
        <w:t>DataFrame</w:t>
      </w:r>
      <w:proofErr w:type="spellEnd"/>
      <w:r>
        <w:t xml:space="preserve">, leitura e filtragem de colunas, </w:t>
      </w:r>
      <w:proofErr w:type="spellStart"/>
      <w:r>
        <w:t>head</w:t>
      </w:r>
      <w:proofErr w:type="spellEnd"/>
      <w:r>
        <w:t xml:space="preserve">, shape, </w:t>
      </w:r>
      <w:proofErr w:type="spellStart"/>
      <w:r>
        <w:t>isna</w:t>
      </w:r>
      <w:proofErr w:type="spellEnd"/>
      <w:r>
        <w:t xml:space="preserve">, </w:t>
      </w:r>
      <w:proofErr w:type="spellStart"/>
      <w:r>
        <w:t>concat</w:t>
      </w:r>
      <w:proofErr w:type="spellEnd"/>
      <w:r>
        <w:t>.</w:t>
      </w:r>
    </w:p>
    <w:p w14:paraId="093FB164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Aula 5 — Conversão de listas e dicionários em </w:t>
      </w:r>
      <w:proofErr w:type="spellStart"/>
      <w:r>
        <w:t>DataFrame</w:t>
      </w:r>
      <w:proofErr w:type="spellEnd"/>
      <w:r>
        <w:t>.</w:t>
      </w:r>
    </w:p>
    <w:p w14:paraId="6B84EDD1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Aula 6 — API REST com método GET, </w:t>
      </w:r>
      <w:proofErr w:type="spellStart"/>
      <w:r>
        <w:t>headers</w:t>
      </w:r>
      <w:proofErr w:type="spellEnd"/>
      <w:r>
        <w:t xml:space="preserve"> de autenticação, </w:t>
      </w:r>
      <w:proofErr w:type="spellStart"/>
      <w:r>
        <w:t>status_code</w:t>
      </w:r>
      <w:proofErr w:type="spellEnd"/>
      <w:r>
        <w:t xml:space="preserve"> e </w:t>
      </w:r>
      <w:proofErr w:type="spellStart"/>
      <w:r>
        <w:t>parsing</w:t>
      </w:r>
      <w:proofErr w:type="spellEnd"/>
      <w:r>
        <w:t xml:space="preserve"> de JSON.</w:t>
      </w:r>
    </w:p>
    <w:p w14:paraId="65A4565F" w14:textId="064672D1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Aula </w:t>
      </w:r>
      <w:proofErr w:type="spellStart"/>
      <w:r>
        <w:t>Regex</w:t>
      </w:r>
      <w:proofErr w:type="spellEnd"/>
      <w:r>
        <w:t xml:space="preserve"> — Validação do padrão dos </w:t>
      </w:r>
      <w:proofErr w:type="spellStart"/>
      <w:r>
        <w:t>tickers</w:t>
      </w:r>
      <w:proofErr w:type="spellEnd"/>
      <w:r>
        <w:t xml:space="preserve"> da B3 com o módulo</w:t>
      </w:r>
    </w:p>
    <w:p w14:paraId="477832D0" w14:textId="65C7785B" w:rsidR="00246465" w:rsidRDefault="00E50466" w:rsidP="00CE3939"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2. Conclusão</w:t>
      </w:r>
    </w:p>
    <w:p w14:paraId="69422702" w14:textId="77777777" w:rsidR="00246465" w:rsidRDefault="00E50466">
      <w:pPr>
        <w:pStyle w:val="Ttulo2"/>
      </w:pPr>
      <w:r>
        <w:t>2</w:t>
      </w:r>
      <w:r>
        <w:t>.1 Resultados consolidados</w:t>
      </w:r>
    </w:p>
    <w:p w14:paraId="29DF6293" w14:textId="77777777" w:rsidR="00246465" w:rsidRDefault="00E50466">
      <w:pPr>
        <w:spacing w:after="120" w:line="320" w:lineRule="auto"/>
        <w:jc w:val="both"/>
      </w:pPr>
      <w:r>
        <w:t>Depois de aplicar o modelo descrito na Parte 1, foi calculada a variação percentual entre o preço de fechamento do dia -5 e do dia +5 para cada uma das 15 ações em cada um dos 8 eventos. Isso dá 120 medidas no total. A tabela abaixo mostra a variação média por setor em cada evento (em %):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872"/>
        <w:gridCol w:w="891"/>
        <w:gridCol w:w="891"/>
        <w:gridCol w:w="891"/>
        <w:gridCol w:w="891"/>
        <w:gridCol w:w="960"/>
        <w:gridCol w:w="960"/>
        <w:gridCol w:w="960"/>
      </w:tblGrid>
      <w:tr w:rsidR="00246465" w14:paraId="5B484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57BFD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289E8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13977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635D7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C4802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33278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3F2D8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82CB9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89064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E8</w:t>
            </w:r>
          </w:p>
        </w:tc>
      </w:tr>
      <w:tr w:rsidR="00246465" w14:paraId="7E6AF8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02B55" w14:textId="77777777" w:rsidR="00246465" w:rsidRDefault="00E50466">
            <w:r>
              <w:rPr>
                <w:b/>
                <w:bCs/>
                <w:sz w:val="22"/>
                <w:szCs w:val="22"/>
              </w:rPr>
              <w:t>Energia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B0A7D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-1,63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E1023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+3,43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DF538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+2,06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52B67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+3,93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EE1E4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+2,71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CA8A5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+1,26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E79FC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+1,26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AB3A8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+1,26</w:t>
            </w:r>
          </w:p>
        </w:tc>
      </w:tr>
      <w:tr w:rsidR="00246465" w14:paraId="6DA125E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41AED" w14:textId="77777777" w:rsidR="00246465" w:rsidRDefault="00E50466">
            <w:r>
              <w:rPr>
                <w:b/>
                <w:bCs/>
                <w:sz w:val="22"/>
                <w:szCs w:val="22"/>
              </w:rPr>
              <w:t>Siderurgia e metais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9F39A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-0,24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33E4D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+0,63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9E444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-0,92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6EBCE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-6,27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11546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-7,67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A1DA9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-1,99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0A05B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-1,99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4933B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-1,99</w:t>
            </w:r>
          </w:p>
        </w:tc>
      </w:tr>
      <w:tr w:rsidR="00246465" w14:paraId="58383B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82F90" w14:textId="77777777" w:rsidR="00246465" w:rsidRDefault="00E50466">
            <w:r>
              <w:rPr>
                <w:b/>
                <w:bCs/>
                <w:sz w:val="22"/>
                <w:szCs w:val="22"/>
              </w:rPr>
              <w:t>Mineração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591F0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-3,17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C69DE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+3,46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66700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+2,23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A66DB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-0,68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8C311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-3,12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01F0B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+10,09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3C7DC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+10,09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6F4C0" w14:textId="77777777" w:rsidR="00246465" w:rsidRDefault="00E50466">
            <w:pPr>
              <w:jc w:val="center"/>
            </w:pPr>
            <w:r>
              <w:rPr>
                <w:sz w:val="22"/>
                <w:szCs w:val="22"/>
              </w:rPr>
              <w:t>+10,09</w:t>
            </w:r>
          </w:p>
        </w:tc>
      </w:tr>
    </w:tbl>
    <w:p w14:paraId="0052375F" w14:textId="77777777" w:rsidR="00246465" w:rsidRDefault="00E50466">
      <w:pPr>
        <w:spacing w:after="120" w:line="320" w:lineRule="auto"/>
        <w:jc w:val="both"/>
      </w:pPr>
      <w:r>
        <w:rPr>
          <w:b/>
          <w:bCs/>
          <w:i/>
          <w:iCs/>
        </w:rPr>
        <w:t xml:space="preserve">Obs.: </w:t>
      </w:r>
      <w:r>
        <w:rPr>
          <w:i/>
          <w:iCs/>
        </w:rPr>
        <w:t>as colunas E6, E7 e E8 mostram o mesmo número porque os três eventos caem em 25/02/2026 (ver item 1.5).</w:t>
      </w:r>
    </w:p>
    <w:p w14:paraId="6D22D721" w14:textId="77777777" w:rsidR="00246465" w:rsidRDefault="00E50466">
      <w:pPr>
        <w:pStyle w:val="Ttulo2"/>
      </w:pPr>
      <w:r>
        <w:t>2.2 Padrão consolidado por setor</w:t>
      </w:r>
    </w:p>
    <w:p w14:paraId="6CA3FFDA" w14:textId="77777777" w:rsidR="00246465" w:rsidRDefault="00E50466">
      <w:pPr>
        <w:spacing w:after="120" w:line="320" w:lineRule="auto"/>
        <w:jc w:val="both"/>
      </w:pPr>
      <w:r>
        <w:t xml:space="preserve">Tirando a média dos 8 eventos, dá </w:t>
      </w:r>
      <w:proofErr w:type="gramStart"/>
      <w:r>
        <w:t>pra</w:t>
      </w:r>
      <w:proofErr w:type="gramEnd"/>
      <w:r>
        <w:t xml:space="preserve"> ver um padrão bem nítido — cada setor reagiu de um jeito: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4160"/>
      </w:tblGrid>
      <w:tr w:rsidR="00246465" w14:paraId="792AE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B47F4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Setor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43BEC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Variação média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BB63C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Direção da reação</w:t>
            </w:r>
          </w:p>
        </w:tc>
      </w:tr>
      <w:tr w:rsidR="00246465" w14:paraId="2F3F72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E5070" w14:textId="77777777" w:rsidR="00246465" w:rsidRDefault="00E50466">
            <w:r>
              <w:rPr>
                <w:b/>
                <w:bCs/>
                <w:sz w:val="22"/>
                <w:szCs w:val="22"/>
              </w:rPr>
              <w:t>Mineração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0CF01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+3,62%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205A6" w14:textId="77777777" w:rsidR="00246465" w:rsidRDefault="00E50466">
            <w:r>
              <w:rPr>
                <w:sz w:val="22"/>
                <w:szCs w:val="22"/>
              </w:rPr>
              <w:t>Alta consistente (positiva)</w:t>
            </w:r>
          </w:p>
        </w:tc>
      </w:tr>
      <w:tr w:rsidR="00246465" w14:paraId="0D54CC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CB591" w14:textId="77777777" w:rsidR="00246465" w:rsidRDefault="00E50466">
            <w:r>
              <w:rPr>
                <w:b/>
                <w:bCs/>
                <w:sz w:val="22"/>
                <w:szCs w:val="22"/>
              </w:rPr>
              <w:t>Energia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E4780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+1,78%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9F2CF" w14:textId="77777777" w:rsidR="00246465" w:rsidRDefault="00E50466">
            <w:r>
              <w:rPr>
                <w:sz w:val="22"/>
                <w:szCs w:val="22"/>
              </w:rPr>
              <w:t>Alta moderada (positiva)</w:t>
            </w:r>
          </w:p>
        </w:tc>
      </w:tr>
      <w:tr w:rsidR="00246465" w14:paraId="3ED11C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45123" w14:textId="77777777" w:rsidR="00246465" w:rsidRDefault="00E50466">
            <w:r>
              <w:rPr>
                <w:b/>
                <w:bCs/>
                <w:sz w:val="22"/>
                <w:szCs w:val="22"/>
              </w:rPr>
              <w:t>Siderurgia e metais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9535A" w14:textId="77777777" w:rsidR="00246465" w:rsidRDefault="00E5046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-2,55%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F80E9" w14:textId="77777777" w:rsidR="00246465" w:rsidRDefault="00E50466">
            <w:r>
              <w:rPr>
                <w:sz w:val="22"/>
                <w:szCs w:val="22"/>
              </w:rPr>
              <w:t>Queda consistente (negativa)</w:t>
            </w:r>
          </w:p>
        </w:tc>
      </w:tr>
    </w:tbl>
    <w:p w14:paraId="7743DF84" w14:textId="77777777" w:rsidR="00246465" w:rsidRDefault="00E50466">
      <w:pPr>
        <w:pStyle w:val="Ttulo2"/>
      </w:pPr>
      <w:r>
        <w:t>2.3 Ações de destaque</w:t>
      </w:r>
    </w:p>
    <w:p w14:paraId="01E2D068" w14:textId="77777777" w:rsidR="00246465" w:rsidRDefault="00E50466">
      <w:pPr>
        <w:spacing w:after="120" w:line="320" w:lineRule="auto"/>
        <w:jc w:val="both"/>
      </w:pPr>
      <w:r>
        <w:t>Em cada setor uma ação puxou bem mais que as outras:</w:t>
      </w:r>
    </w:p>
    <w:p w14:paraId="7561C639" w14:textId="77777777" w:rsidR="00246465" w:rsidRDefault="00E50466">
      <w:pPr>
        <w:spacing w:after="120" w:line="320" w:lineRule="auto"/>
        <w:jc w:val="both"/>
      </w:pPr>
      <w:r>
        <w:rPr>
          <w:b/>
          <w:bCs/>
          <w:color w:val="1F4E79"/>
        </w:rPr>
        <w:t xml:space="preserve">AXIA3 (Energia): </w:t>
      </w:r>
      <w:r>
        <w:t>subiu 11,11% entre o dia -5 e o dia +5 do evento E2 (edição da MP 1.318). Foi a maior alta entre todas as ações do setor de energia em qualquer dos 8 eventos.</w:t>
      </w:r>
    </w:p>
    <w:p w14:paraId="42FE6B80" w14:textId="77777777" w:rsidR="00246465" w:rsidRDefault="00E50466">
      <w:pPr>
        <w:spacing w:after="120" w:line="320" w:lineRule="auto"/>
        <w:jc w:val="both"/>
      </w:pPr>
      <w:r>
        <w:rPr>
          <w:b/>
          <w:bCs/>
          <w:color w:val="C00000"/>
        </w:rPr>
        <w:t xml:space="preserve">CSNA3 (Siderurgia): </w:t>
      </w:r>
      <w:r>
        <w:t>caiu 17,74% entre o dia -5 e o dia +5 do evento E5 (aprovação da urgência na Câmara). Foi a maior queda da amostra inteira.</w:t>
      </w:r>
    </w:p>
    <w:p w14:paraId="356EE28B" w14:textId="77777777" w:rsidR="00246465" w:rsidRDefault="00E50466">
      <w:pPr>
        <w:spacing w:after="120" w:line="320" w:lineRule="auto"/>
        <w:jc w:val="both"/>
      </w:pPr>
      <w:r>
        <w:rPr>
          <w:b/>
          <w:bCs/>
          <w:color w:val="548235"/>
        </w:rPr>
        <w:t xml:space="preserve">AURA33 (Mineração): </w:t>
      </w:r>
      <w:r>
        <w:t>subiu 29,69% entre o dia -5 e o dia +5 do evento E6 (e dos eventos coincidentes E7 e E8). Foi a maior alta da amostra inteira.</w:t>
      </w:r>
    </w:p>
    <w:p w14:paraId="79F5CE8D" w14:textId="77777777" w:rsidR="00246465" w:rsidRDefault="00E50466">
      <w:pPr>
        <w:pStyle w:val="Ttulo2"/>
      </w:pPr>
      <w:r>
        <w:t>2.4 Resposta à pergunta de pesquisa</w:t>
      </w:r>
    </w:p>
    <w:p w14:paraId="6601F22E" w14:textId="77777777" w:rsidR="00246465" w:rsidRDefault="00E50466">
      <w:pPr>
        <w:spacing w:after="120" w:line="320" w:lineRule="auto"/>
        <w:jc w:val="both"/>
      </w:pPr>
      <w:r>
        <w:lastRenderedPageBreak/>
        <w:t xml:space="preserve">Os dados mostram que os anúncios do REDATA estiveram acompanhados de movimentos não desprezíveis nos preços dos três setores estudados. As magnitudes variam bastante — desde oscilações pequenas (Energia em alguns eventos) até variações fortes em janelas de 11 pregões (Siderurgia em E5, Mineração em E6/E7/E8). Esse comportamento </w:t>
      </w:r>
      <w:r>
        <w:rPr>
          <w:b/>
          <w:bCs/>
        </w:rPr>
        <w:t>rejeita parcialmente H</w:t>
      </w:r>
      <w:r>
        <w:rPr>
          <w:b/>
          <w:bCs/>
          <w:vertAlign w:val="superscript"/>
        </w:rPr>
        <w:t>0</w:t>
      </w:r>
      <w:r>
        <w:rPr>
          <w:b/>
          <w:bCs/>
        </w:rPr>
        <w:t xml:space="preserve"> em favor de H</w:t>
      </w:r>
      <w:r>
        <w:rPr>
          <w:b/>
          <w:bCs/>
          <w:vertAlign w:val="superscript"/>
        </w:rPr>
        <w:t>1</w:t>
      </w:r>
      <w:r>
        <w:t>: o mercado reagiu de alguma forma a esses eventos.</w:t>
      </w:r>
    </w:p>
    <w:p w14:paraId="73B4AB65" w14:textId="77777777" w:rsidR="00246465" w:rsidRDefault="00E50466">
      <w:pPr>
        <w:spacing w:after="120" w:line="320" w:lineRule="auto"/>
        <w:jc w:val="both"/>
      </w:pPr>
      <w:r>
        <w:t>O resultado mais interessante, porém, não é só o tamanho da reação, e sim o fato de cada setor ter reagido em uma direção diferente. Mineração e Energia subiram na média (+3,6% e +1,8% respectivamente), enquanto Siderurgia caiu (-2,5%). Faz sentido economicamente: data centers ampliam a demanda por insumos minerais e por energia limpa, mas não criam necessariamente o mesmo tipo de oportunidade para o setor siderúrgico.</w:t>
      </w:r>
    </w:p>
    <w:p w14:paraId="752035FA" w14:textId="77777777" w:rsidR="00246465" w:rsidRDefault="00E50466">
      <w:pPr>
        <w:pStyle w:val="Ttulo2"/>
      </w:pPr>
      <w:r>
        <w:t>2.5 Limitações reconhecidas</w:t>
      </w:r>
    </w:p>
    <w:p w14:paraId="6FC3B46C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>Eventos sobrepostos: E6, E7 e E8 caem na mesma data e geram medidas idênticas — na prática, são três eventos que viraram um.</w:t>
      </w:r>
    </w:p>
    <w:p w14:paraId="41ED9622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Ruído de outras notícias: variações muito grandes como -17,74% em CSNA3 e +29,69% em AURA33 quase certamente carregam efeitos de outros fatos da empresa ou do mercado dentro da janela. Sem técnicas adicionais, não dá </w:t>
      </w:r>
      <w:proofErr w:type="gramStart"/>
      <w:r>
        <w:t>pra</w:t>
      </w:r>
      <w:proofErr w:type="gramEnd"/>
      <w:r>
        <w:t xml:space="preserve"> separar o que foi REDATA do que foi outra coisa.</w:t>
      </w:r>
    </w:p>
    <w:p w14:paraId="52A57CC7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>Análise puramente descritiva: este trabalho não aplica testes estatísticos de significância (teste t, intervalo de confiança), porque esses procedimentos ficaram fora do conteúdo da disciplina até esta entrega.</w:t>
      </w:r>
    </w:p>
    <w:p w14:paraId="31B0C3BF" w14:textId="77777777" w:rsidR="00246465" w:rsidRDefault="00E5046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Cobertura do Ibovespa: o índice retornou 238 observações no período, contra 299 das ações. A diferença vem de defasagens entre os </w:t>
      </w:r>
      <w:proofErr w:type="spellStart"/>
      <w:r>
        <w:t>endpoints</w:t>
      </w:r>
      <w:proofErr w:type="spellEnd"/>
      <w:r>
        <w:t xml:space="preserve"> da API. O uso do Ibovespa como referência de mercado, que faz parte do modelo formal de retorno anormal, foi explorado no arquivo complementar.</w:t>
      </w:r>
    </w:p>
    <w:p w14:paraId="65524DFA" w14:textId="77777777" w:rsidR="00246465" w:rsidRDefault="00E50466">
      <w:pPr>
        <w:pStyle w:val="Ttulo2"/>
      </w:pPr>
      <w:r>
        <w:t>2.6 Considerações finais</w:t>
      </w:r>
    </w:p>
    <w:p w14:paraId="218656A0" w14:textId="77777777" w:rsidR="00246465" w:rsidRDefault="00E50466">
      <w:pPr>
        <w:spacing w:after="120" w:line="320" w:lineRule="auto"/>
        <w:jc w:val="both"/>
      </w:pPr>
      <w:r>
        <w:t>Dentro do que foi ensinado em aula, o trabalho conseguiu: (i) sair de uma pergunta de pesquisa real e contemporânea; (</w:t>
      </w:r>
      <w:proofErr w:type="spellStart"/>
      <w:r>
        <w:t>ii</w:t>
      </w:r>
      <w:proofErr w:type="spellEnd"/>
      <w:r>
        <w:t>) montar a coleta automatizada via API; (</w:t>
      </w:r>
      <w:proofErr w:type="spellStart"/>
      <w:r>
        <w:t>iii</w:t>
      </w:r>
      <w:proofErr w:type="spellEnd"/>
      <w:r>
        <w:t xml:space="preserve">) organizar os dados em </w:t>
      </w:r>
      <w:proofErr w:type="spellStart"/>
      <w:r>
        <w:t>DataFrame</w:t>
      </w:r>
      <w:proofErr w:type="spellEnd"/>
      <w:r>
        <w:t xml:space="preserve"> com validação por </w:t>
      </w:r>
      <w:proofErr w:type="spellStart"/>
      <w:r>
        <w:t>regex</w:t>
      </w:r>
      <w:proofErr w:type="spellEnd"/>
      <w:r>
        <w:t>; (</w:t>
      </w:r>
      <w:proofErr w:type="spellStart"/>
      <w:r>
        <w:t>iv</w:t>
      </w:r>
      <w:proofErr w:type="spellEnd"/>
      <w:r>
        <w:t>) gerar 24 tabelas estruturadas de janela do evento; e (v) sintetizar tudo em métricas comparáveis entre os setores. O modelo de estudo de evento funcionou bem para o problema e permitiu encontrar um padrão claro de reação setorial heterogênea ao REDATA.</w:t>
      </w:r>
    </w:p>
    <w:p w14:paraId="39B5F3B2" w14:textId="77777777" w:rsidR="00246465" w:rsidRDefault="00E50466">
      <w:pPr>
        <w:spacing w:after="120" w:line="320" w:lineRule="auto"/>
        <w:jc w:val="both"/>
      </w:pPr>
      <w:r>
        <w:t xml:space="preserve">Como continuidade — já fora do escopo desta disciplina —, o trabalho está sendo estendido em </w:t>
      </w:r>
      <w:proofErr w:type="spellStart"/>
      <w:r>
        <w:t>Microeconometria</w:t>
      </w:r>
      <w:proofErr w:type="spellEnd"/>
      <w:r>
        <w:t xml:space="preserve">, com o cálculo formal de retornos anormais em relação ao Ibovespa, retorno anormal acumulado (CAR) em três janelas (-1/+1, -3/+3 </w:t>
      </w:r>
      <w:r>
        <w:lastRenderedPageBreak/>
        <w:t>e -5/+5) e visualização gráfica dos eventos de maior impacto. Essa parte aprofunda a análise apresentada aqui com as ferramentas econométricas daquela disciplina.</w:t>
      </w:r>
    </w:p>
    <w:sectPr w:rsidR="0024646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BC6F" w14:textId="77777777" w:rsidR="00E50466" w:rsidRDefault="00E50466">
      <w:r>
        <w:separator/>
      </w:r>
    </w:p>
  </w:endnote>
  <w:endnote w:type="continuationSeparator" w:id="0">
    <w:p w14:paraId="334DF9A4" w14:textId="77777777" w:rsidR="00E50466" w:rsidRDefault="00E5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5667" w14:textId="77777777" w:rsidR="00246465" w:rsidRDefault="00E50466">
    <w:pPr>
      <w:jc w:val="center"/>
    </w:pPr>
    <w:r>
      <w:rPr>
        <w:color w:val="808080"/>
        <w:sz w:val="20"/>
        <w:szCs w:val="20"/>
      </w:rPr>
      <w:t xml:space="preserve">Página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CE3939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77173" w14:textId="77777777" w:rsidR="00E50466" w:rsidRDefault="00E50466">
      <w:r>
        <w:separator/>
      </w:r>
    </w:p>
  </w:footnote>
  <w:footnote w:type="continuationSeparator" w:id="0">
    <w:p w14:paraId="586803A8" w14:textId="77777777" w:rsidR="00E50466" w:rsidRDefault="00E50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9516C"/>
    <w:multiLevelType w:val="hybridMultilevel"/>
    <w:tmpl w:val="B3B82E2C"/>
    <w:lvl w:ilvl="0" w:tplc="9DAC7D16">
      <w:start w:val="1"/>
      <w:numFmt w:val="bullet"/>
      <w:lvlText w:val="●"/>
      <w:lvlJc w:val="left"/>
      <w:pPr>
        <w:ind w:left="720" w:hanging="360"/>
      </w:pPr>
    </w:lvl>
    <w:lvl w:ilvl="1" w:tplc="1E1C5914">
      <w:start w:val="1"/>
      <w:numFmt w:val="bullet"/>
      <w:lvlText w:val="○"/>
      <w:lvlJc w:val="left"/>
      <w:pPr>
        <w:ind w:left="1440" w:hanging="360"/>
      </w:pPr>
    </w:lvl>
    <w:lvl w:ilvl="2" w:tplc="C38A303C">
      <w:start w:val="1"/>
      <w:numFmt w:val="bullet"/>
      <w:lvlText w:val="■"/>
      <w:lvlJc w:val="left"/>
      <w:pPr>
        <w:ind w:left="2160" w:hanging="360"/>
      </w:pPr>
    </w:lvl>
    <w:lvl w:ilvl="3" w:tplc="F24E377A">
      <w:start w:val="1"/>
      <w:numFmt w:val="bullet"/>
      <w:lvlText w:val="●"/>
      <w:lvlJc w:val="left"/>
      <w:pPr>
        <w:ind w:left="2880" w:hanging="360"/>
      </w:pPr>
    </w:lvl>
    <w:lvl w:ilvl="4" w:tplc="B92AF1F6">
      <w:start w:val="1"/>
      <w:numFmt w:val="bullet"/>
      <w:lvlText w:val="○"/>
      <w:lvlJc w:val="left"/>
      <w:pPr>
        <w:ind w:left="3600" w:hanging="360"/>
      </w:pPr>
    </w:lvl>
    <w:lvl w:ilvl="5" w:tplc="F6DC1FCA">
      <w:start w:val="1"/>
      <w:numFmt w:val="bullet"/>
      <w:lvlText w:val="■"/>
      <w:lvlJc w:val="left"/>
      <w:pPr>
        <w:ind w:left="4320" w:hanging="360"/>
      </w:pPr>
    </w:lvl>
    <w:lvl w:ilvl="6" w:tplc="D05854E2">
      <w:start w:val="1"/>
      <w:numFmt w:val="bullet"/>
      <w:lvlText w:val="●"/>
      <w:lvlJc w:val="left"/>
      <w:pPr>
        <w:ind w:left="5040" w:hanging="360"/>
      </w:pPr>
    </w:lvl>
    <w:lvl w:ilvl="7" w:tplc="D9C4BD72">
      <w:start w:val="1"/>
      <w:numFmt w:val="bullet"/>
      <w:lvlText w:val="●"/>
      <w:lvlJc w:val="left"/>
      <w:pPr>
        <w:ind w:left="5760" w:hanging="360"/>
      </w:pPr>
    </w:lvl>
    <w:lvl w:ilvl="8" w:tplc="3C9EC8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13149"/>
    <w:multiLevelType w:val="hybridMultilevel"/>
    <w:tmpl w:val="CF8846CE"/>
    <w:lvl w:ilvl="0" w:tplc="DE9A43B0">
      <w:start w:val="1"/>
      <w:numFmt w:val="bullet"/>
      <w:lvlText w:val="•"/>
      <w:lvlJc w:val="left"/>
      <w:pPr>
        <w:ind w:left="720" w:hanging="360"/>
      </w:pPr>
    </w:lvl>
    <w:lvl w:ilvl="1" w:tplc="306AAC62">
      <w:numFmt w:val="decimal"/>
      <w:lvlText w:val=""/>
      <w:lvlJc w:val="left"/>
    </w:lvl>
    <w:lvl w:ilvl="2" w:tplc="A0F20BC0">
      <w:numFmt w:val="decimal"/>
      <w:lvlText w:val=""/>
      <w:lvlJc w:val="left"/>
    </w:lvl>
    <w:lvl w:ilvl="3" w:tplc="3DC4E044">
      <w:numFmt w:val="decimal"/>
      <w:lvlText w:val=""/>
      <w:lvlJc w:val="left"/>
    </w:lvl>
    <w:lvl w:ilvl="4" w:tplc="22C8C39A">
      <w:numFmt w:val="decimal"/>
      <w:lvlText w:val=""/>
      <w:lvlJc w:val="left"/>
    </w:lvl>
    <w:lvl w:ilvl="5" w:tplc="8C2E30D0">
      <w:numFmt w:val="decimal"/>
      <w:lvlText w:val=""/>
      <w:lvlJc w:val="left"/>
    </w:lvl>
    <w:lvl w:ilvl="6" w:tplc="26C482B2">
      <w:numFmt w:val="decimal"/>
      <w:lvlText w:val=""/>
      <w:lvlJc w:val="left"/>
    </w:lvl>
    <w:lvl w:ilvl="7" w:tplc="576E72F4">
      <w:numFmt w:val="decimal"/>
      <w:lvlText w:val=""/>
      <w:lvlJc w:val="left"/>
    </w:lvl>
    <w:lvl w:ilvl="8" w:tplc="87F06454">
      <w:numFmt w:val="decimal"/>
      <w:lvlText w:val=""/>
      <w:lvlJc w:val="left"/>
    </w:lvl>
  </w:abstractNum>
  <w:num w:numId="1" w16cid:durableId="1829589378">
    <w:abstractNumId w:val="0"/>
    <w:lvlOverride w:ilvl="0">
      <w:startOverride w:val="1"/>
    </w:lvlOverride>
  </w:num>
  <w:num w:numId="2" w16cid:durableId="12992636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65"/>
    <w:rsid w:val="00246465"/>
    <w:rsid w:val="00CE3939"/>
    <w:rsid w:val="00E50466"/>
    <w:rsid w:val="00F1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5386"/>
  <w15:docId w15:val="{7A682F49-0892-47B3-8EE3-0522F363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1586</Words>
  <Characters>8565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REDATA - Modelo e Conclusao</dc:title>
  <dc:creator>Trabalho REDATA</dc:creator>
  <cp:lastModifiedBy>Centerlar Utilidades</cp:lastModifiedBy>
  <cp:revision>2</cp:revision>
  <dcterms:created xsi:type="dcterms:W3CDTF">2026-05-26T01:46:00Z</dcterms:created>
  <dcterms:modified xsi:type="dcterms:W3CDTF">2026-05-26T01:46:00Z</dcterms:modified>
</cp:coreProperties>
</file>