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t>Além disso, a logística não está adequada, os carros da frota ficam parados muito tempo; e o consumo de combustível aumentou 12,5 por cento em média mensal. Os motoristas disseram que ‘as rotas’ foram planejadas sem considerar os horários de pico.</w:t>
      </w:r>
    </w:p>
    <w:p>
      <w:r>
        <w:t>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t>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r>
        <w:br/>
        <w:t>Tabela 1 – Clientes por mês no último ano (dados do setor comerçial):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Reclamação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117 clientes atendidos, porem o relatório de marketing informa 312 clientes únicos. Os dados acima não soma corretamente.</w:t>
      </w:r>
    </w:p>
    <w:p>
      <w:r>
        <w:t>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r>
        <w:br/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Pagaménto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Logística/Combustivél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18:30 da manhã, e o relatório foi entregue oficialmente em 18/04/2025, três dias depois.</w:t>
      </w:r>
    </w:p>
    <w:p>
      <w:r>
        <w:t>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