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Relatório de Avaliação da Empresa Florestal Dossel Ambiental</w:t>
      </w:r>
    </w:p>
    <w:p>
      <w:r>
        <w:t>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t>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t>Além disso, a logística não está adequada, os carros da frota ficam parados muito tempo; e o consumo de combustível aumentou 12,5 por cento em média mensalmente. Os motoristas disseram que 'as rotas' foram planejadas sem considerar os horários de pico.</w:t>
      </w:r>
    </w:p>
    <w:p>
      <w:r>
        <w:t>A equipe de TI tentou consertar o servidor duas vezes, mas ele ainda continua caindo. Também houve falhas de backup, o que prejudicou os dados dos clientes. Para eu fazer uma melhoria, é preciso trocar todas as senhas e atualizar o antivírus urgentemente.</w:t>
      </w:r>
    </w:p>
    <w:p>
      <w:r>
        <w:t>O faturamento do trimestre foi de R$ 1.200.000,00 conforme os boletos pagos; porém, os relatórios financeiros apontam R$ 890.000,00 de entrada bruta, com custos fixos declarados em R$ 950.000,00 (o que indica lucro de R$ 310.000,00 negativos).</w:t>
      </w:r>
    </w:p>
    <w:p>
      <w:r>
        <w:t>Tabela 1 – Clientes por mês no último ano (dados do setor comercial):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Mês</w:t>
            </w:r>
          </w:p>
        </w:tc>
        <w:tc>
          <w:tcPr>
            <w:tcW w:type="dxa" w:w="2160"/>
          </w:tcPr>
          <w:p>
            <w:r>
              <w:t>Clientes Atendidos</w:t>
            </w:r>
          </w:p>
        </w:tc>
        <w:tc>
          <w:tcPr>
            <w:tcW w:type="dxa" w:w="2160"/>
          </w:tcPr>
          <w:p>
            <w:r>
              <w:t>Chamados de Reclamação</w:t>
            </w:r>
          </w:p>
        </w:tc>
        <w:tc>
          <w:tcPr>
            <w:tcW w:type="dxa" w:w="2160"/>
          </w:tcPr>
          <w:p>
            <w:r>
              <w:t>Satisfação (%)</w:t>
            </w:r>
          </w:p>
        </w:tc>
      </w:tr>
      <w:tr>
        <w:tc>
          <w:tcPr>
            <w:tcW w:type="dxa" w:w="2160"/>
          </w:tcPr>
          <w:p>
            <w:r>
              <w:t>Janeiro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Março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Junho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Dezembro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</w:tbl>
    <w:p>
      <w:r>
        <w:t>Obs.: O total anual apurado no sistema é de 117 clientes atendidos, porém o relatório de marketing informa 312 clientes únicos. Os dados acima não somam corretamente.</w:t>
      </w:r>
    </w:p>
    <w:p>
      <w:r>
        <w:t>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br/>
        <w:t>Tabela 2 – Orçamento trimestral (valores em R$):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Planejado</w:t>
            </w:r>
          </w:p>
        </w:tc>
        <w:tc>
          <w:tcPr>
            <w:tcW w:type="dxa" w:w="2160"/>
          </w:tcPr>
          <w:p>
            <w:r>
              <w:t>Executado</w:t>
            </w:r>
          </w:p>
        </w:tc>
        <w:tc>
          <w:tcPr>
            <w:tcW w:type="dxa" w:w="2160"/>
          </w:tcPr>
          <w:p>
            <w:r>
              <w:t>Diferença</w:t>
            </w:r>
          </w:p>
        </w:tc>
      </w:tr>
      <w:tr>
        <w:tc>
          <w:tcPr>
            <w:tcW w:type="dxa" w:w="2160"/>
          </w:tcPr>
          <w:p>
            <w:r>
              <w:t>Folha de Pagamento</w:t>
            </w:r>
          </w:p>
        </w:tc>
        <w:tc>
          <w:tcPr>
            <w:tcW w:type="dxa" w:w="2160"/>
          </w:tcPr>
          <w:p>
            <w:r>
              <w:t>450.000,00</w:t>
            </w:r>
          </w:p>
        </w:tc>
        <w:tc>
          <w:tcPr>
            <w:tcW w:type="dxa" w:w="2160"/>
          </w:tcPr>
          <w:p>
            <w:r>
              <w:t>470.000,00</w:t>
            </w:r>
          </w:p>
        </w:tc>
        <w:tc>
          <w:tcPr>
            <w:tcW w:type="dxa" w:w="2160"/>
          </w:tcPr>
          <w:p>
            <w:r>
              <w:t>-15.000,00</w:t>
            </w:r>
          </w:p>
        </w:tc>
      </w:tr>
      <w:tr>
        <w:tc>
          <w:tcPr>
            <w:tcW w:type="dxa" w:w="2160"/>
          </w:tcPr>
          <w:p>
            <w:r>
              <w:t>Logística/Combustível</w:t>
            </w:r>
          </w:p>
        </w:tc>
        <w:tc>
          <w:tcPr>
            <w:tcW w:type="dxa" w:w="2160"/>
          </w:tcPr>
          <w:p>
            <w:r>
              <w:t>180.000,00</w:t>
            </w:r>
          </w:p>
        </w:tc>
        <w:tc>
          <w:tcPr>
            <w:tcW w:type="dxa" w:w="2160"/>
          </w:tcPr>
          <w:p>
            <w:r>
              <w:t>210.000,00</w:t>
            </w:r>
          </w:p>
        </w:tc>
        <w:tc>
          <w:tcPr>
            <w:tcW w:type="dxa" w:w="2160"/>
          </w:tcPr>
          <w:p>
            <w:r>
              <w:t>-35.000,00</w:t>
            </w:r>
          </w:p>
        </w:tc>
      </w:tr>
      <w:tr>
        <w:tc>
          <w:tcPr>
            <w:tcW w:type="dxa" w:w="2160"/>
          </w:tcPr>
          <w:p>
            <w:r>
              <w:t>TI e Serviços</w:t>
            </w:r>
          </w:p>
        </w:tc>
        <w:tc>
          <w:tcPr>
            <w:tcW w:type="dxa" w:w="2160"/>
          </w:tcPr>
          <w:p>
            <w:r>
              <w:t>70.000,00</w:t>
            </w:r>
          </w:p>
        </w:tc>
        <w:tc>
          <w:tcPr>
            <w:tcW w:type="dxa" w:w="2160"/>
          </w:tcPr>
          <w:p>
            <w:r>
              <w:t>50.000,00</w:t>
            </w:r>
          </w:p>
        </w:tc>
        <w:tc>
          <w:tcPr>
            <w:tcW w:type="dxa" w:w="2160"/>
          </w:tcPr>
          <w:p>
            <w:r>
              <w:t>30.000,00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1.200.000,00</w:t>
            </w:r>
          </w:p>
        </w:tc>
        <w:tc>
          <w:tcPr>
            <w:tcW w:type="dxa" w:w="2160"/>
          </w:tcPr>
          <w:p>
            <w:r>
              <w:t>890.000,00</w:t>
            </w:r>
          </w:p>
        </w:tc>
        <w:tc>
          <w:tcPr>
            <w:tcW w:type="dxa" w:w="2160"/>
          </w:tcPr>
          <w:p>
            <w:r>
              <w:t>310.000,00</w:t>
            </w:r>
          </w:p>
        </w:tc>
      </w:tr>
    </w:tbl>
    <w:p>
      <w:r>
        <w:t>A auditoria interna ocorreu em 15/04/2025 por volta das 6h30 da manhã, e o relatório foi entregue oficialmente em 18/04/2025, três dias depois.</w:t>
      </w:r>
    </w:p>
    <w:p>
      <w:r>
        <w:t>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