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 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5. 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A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 Políticas e licenciamento ambiental</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5.1.4 Conservação de fauna e flora</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5.1.8 Ruídos</w:t>
      </w:r>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Poluição do Solo e Efluentes Líquidos</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5.1.11 Saúde Pública e Saneamento Básico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5.1.12 Comunidades indígenas, quilombolas, pesqueiras e outras tradicionais.</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A implantação de empreendimentos em cumprimento a estas normas, desenvolvendo iniciativas capazes de mitigar os impactos ambientais negativos, é condição essencial para uma gestão estratégica eficiente dos recursos naturais. Neste contexto, apresentam-se, na sequência, os principais requisitos legais que regulam o processo de licenciamento ambiental para a implantação de projetos na área de energia nas esferas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são caracterizadas situações que comprometem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8 de dezembro de 2011, indica a esfera de licenciamento (federal, estadual e municipal) dependendo da localização do empreendimento. A competência do licenciamento ambiental da LT 525 kV Abdon Batista 2 – Curitiba Oeste e Subestação Curitiba Oeste enquadra-se inicialmente como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t>GRAÚNA TRANSMISSORA DE ENERGIA S.A. Carta CE-STEP-TO-0006-V.1. 2019.</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r>
        <w:t>Procedimentos de Licenciamento Ambiental</w:t>
      </w:r>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solicitado pelo Termo de Referência - TR nº 2023/45.</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r>
        <w:t>Quadro 5.1-1 – Legislação de política e licenciamento ambiental aplicável ao empreendimento.</w:t>
      </w:r>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t>Estabelece diretrizes para o licenciamento ambiental de postos de combustíveis e serviços, além de dispor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sobre a emissão de autorizações para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Alteram-se e acrescentam-se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à Autorização Ambiental (AuA)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t>Estabelece procedimentos administrativos que disciplinam a atuação dos órgãos e entidades da administração pública federal em processos de licenciamento ambiental sob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rsidRPr="0049732B">
              <w:rPr>
                <w:rFonts w:cstheme="minorHAnsi"/>
                <w:szCs w:val="18"/>
              </w:rP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conforme 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r>
        <w:t>SOBRENOME, Nome do autor. Uso e ocupação do solo. Local de publicação: Editora, ano.</w:t>
      </w:r>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t>Lei Ordinária nº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 DUP, de áreas de terra necessárias à implantação de instalações de geração 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t>Define a metodologia para a classificação do grau de relevância das cavidades naturais subterrâneas, conforme previsto no art. 5º do Decreto nº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r>
        <w:t>QUADRO 5.1-4 – Legislação de conservação da fauna e flora aplicável ao empreendimento.</w:t>
      </w:r>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alterada pelas Instruções Normativas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t>Instrução Normativa n.º 38</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Áreas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r>
        <w:t>QUADRO 5.1-5 – Legislação de compensação ambiental aplicável ao empreendimento.</w:t>
      </w:r>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no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rsidRPr="00DC70B6">
              <w:rPr>
                <w:rFonts w:cstheme="minorHAnsi"/>
                <w:sz w:val="20"/>
              </w:rP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r>
        <w:t>QUADRO 5.1-7 - Legislação de emissões atmosféricas aplicável ao empreendimento.</w:t>
      </w:r>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r>
        <w:t>QUADRO 5.1-8 – Legislação de ruídos aplicável ao empreendimento.</w:t>
      </w:r>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92/1980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Define os níveis de ruído compatíveis com o conforto acústico em diversos ambientes.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rsidRPr="00DC70B6">
              <w:rPr>
                <w:rFonts w:cstheme="minorHAnsi"/>
                <w:szCs w:val="18"/>
              </w:rP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para o licenciamento e estabelecer critérios para a apresentação dos planos, programas e projetos ambientais relativos ao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rsidRPr="00F34211">
              <w:rPr>
                <w:rFonts w:cstheme="minorHAnsi"/>
                <w:szCs w:val="18"/>
              </w:rPr>
              <w:t>Resolução CONAMA nº448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r>
        <w:t>Quadro 5.1-11: Legislação de saúde pública e dos trabalhadores, saneamento ambiental e segurança do trabalho aplicáveis ao empreendimento.</w:t>
      </w:r>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para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t>Estabelece procedimentos administrativos a serem observados pelo Instituto do Patrimônio Histórico e Artístico Nacional nos processos de licenciamento ambiental dos quais participa.</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t>Decreto n.º 050, de 07/10/2029 – Estabelece procedimentos para licenciamento ambiental no âmbito do município e dá outras providências.</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t>Lei Complementar nº 97 de 09/12/2008 – Institui o Plano Diretor de Desenvolvimento Municipal, dispõe sobre as normas, fixa os objetivos e as diretrizes urbanísticas do município de Fraiburgo, e dá outras providências.</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Frei Rogério, de 05/04/1990, e suas atualizações.</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 de setembro de 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 11 de 27/11/2003 – Institui o Plano Diretor Físico-Territorial,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17/03/2020.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r>
        <w:t>QUADRO 1: Legislação técnica aplicável ao empreendimento.</w:t>
      </w:r>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para 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concha e bola. Atualizado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 e trincheira, bem como critérios para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Fixa as condições exigíveis para a execução de levantamentos topográficos.</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8.987/1995. Alterada pelas Leis nº 9.648/1998 e nº 10.848/2004. Regulamentada, em parte, pelo Decreto nº 6.160/2007.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como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t>Estabelece procedimentos para prorrogação das concessões dos serviços públicos de energia elétrica de que trata a Lei nº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t>Especifica as características dos cabos nus de cobre mole, revestidos ou não, de secção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rsidRPr="00DF7244">
              <w:rPr>
                <w:rFonts w:cstheme="minorHAnsi"/>
                <w:szCs w:val="18"/>
              </w:rPr>
              <w:t>Resolução ANEEL n°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rsidRPr="00DF7244">
              <w:rPr>
                <w:rFonts w:cstheme="minorHAnsi"/>
                <w:szCs w:val="18"/>
              </w:rPr>
              <w:t>Resolução ANEEL n°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a conexão, os sistemas de transmissão e a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t>Estabelece a composição da Rede Básica do sistema elétrico interligado brasileiro, suas conexões e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t>Fixa as diretrizes para 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5.163/04, que regulamenta a comercialização de energia elétrica, o processo de outorga de concessões e de autorizações para a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10.848/2004. Altera o Decreto nº 5.163/2004, alterado pelo Decreto nº 7.317/2010.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Fixa os requisitos exigíveis para a verificação da segurança das estruturas usuais da construção civil em relação às ações de sismos, bem como 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níveis de referência para exposição a campos elétricos e magnéticos de 50 Hz e 60 Hz para o público geral, ao redor das instalações de geração, transmissão e distribuição de energia elétrica acima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rsidRPr="00DF7244">
              <w:rPr>
                <w:rFonts w:cstheme="minorHAnsi"/>
                <w:szCs w:val="18"/>
              </w:rPr>
              <w:t>Regulamenta a contratação de energia de reserva de que trata o § 3º do art. 3º.-A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Determina as condições exigíveis para a fabricação, qualificação, aceitação e/ou recebimento de cabos de alumínio nus (CA), utilizados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Fornece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aplicáveis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visando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rsidRPr="00DF7244">
              <w:rPr>
                <w:rFonts w:cstheme="minorHAnsi"/>
                <w:szCs w:val="18"/>
              </w:rPr>
              <w:t xml:space="preserve">Aplica-se a </w:t>
            </w:r>
            <w:proofErr w:type="spellStart"/>
            <w:r w:rsidRPr="00DF7244">
              <w:rPr>
                <w:rFonts w:cstheme="minorHAnsi"/>
                <w:szCs w:val="18"/>
              </w:rPr>
              <w:t>cupilhas</w:t>
            </w:r>
            <w:proofErr w:type="spellEnd"/>
            <w:r w:rsidRPr="00DF7244">
              <w:rPr>
                <w:rFonts w:cstheme="minorHAnsi"/>
                <w:szCs w:val="18"/>
              </w:rPr>
              <w:t xml:space="preserve">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