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t>Linha de Transmissão 525 kV Abdon Batista 2 – Curitiba Oeste e Subestação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r>
        <w:t>Análise de Impacto Ambiental</w:t>
      </w:r>
    </w:p>
    <w:p w14:paraId="7DA1FD58" w14:textId="00D5754F" w:rsidR="00D31CFC" w:rsidRPr="00D31CFC" w:rsidRDefault="00507DEB" w:rsidP="00D31CFC">
      <w:pPr>
        <w:pStyle w:val="CapaTtulo2"/>
      </w:pPr>
      <w:r>
        <w:t>Março de 2025</w:t>
      </w:r>
    </w:p>
    <w:p w14:paraId="5F9F7FFE" w14:textId="77777777" w:rsidR="003B4DFC" w:rsidRPr="00636B88" w:rsidRDefault="003B4DFC" w:rsidP="00D31CFC">
      <w:pPr>
        <w:pStyle w:val="CapaData"/>
        <w:rPr>
          <w:b/>
          <w:bCs/>
        </w:rPr>
      </w:pPr>
      <w:r>
        <w:t>LINHA DE TRANSMISSÃO (LT) DE 525 kV ABDON BATISTA 2 ATÉ CURITIBA OESTE E SUBESTAÇÃO (SE) CURITIBA OESTE</w:t>
      </w:r>
    </w:p>
    <w:p w14:paraId="55B81E6B" w14:textId="67B4B46F" w:rsidR="00D31CFC" w:rsidRPr="00D31CFC" w:rsidRDefault="00AA2680" w:rsidP="00245154">
      <w:pPr>
        <w:pStyle w:val="CapaData"/>
        <w:ind w:right="707"/>
        <w:jc w:val="right"/>
      </w:pPr>
      <w:r>
        <w:t>Análise dos Efeitos no Meio Ambiente</w:t>
      </w:r>
    </w:p>
    <w:p w14:paraId="1373C9D6" w14:textId="77777777" w:rsidR="00D31CFC" w:rsidRDefault="00D31CFC" w:rsidP="00AC3B30">
      <w:r>
        <w:t>Março de 2025</w:t>
      </w:r>
    </w:p>
    <w:p w14:paraId="5C12DDD9" w14:textId="77777777" w:rsidR="00D31CFC" w:rsidRDefault="00D31CFC" w:rsidP="009A34F5"/>
    <w:p w14:paraId="5AD5B622" w14:textId="77777777" w:rsidR="00D31CFC" w:rsidRDefault="00D31CFC" w:rsidP="009A34F5">
      <w:r>
        <w:t>5. LEGISLAÇÃO RELEVANTE</w:t>
      </w:r>
    </w:p>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r>
        <w:t>5.1 Legislação Ambiental Pertinente ao Empreendimento</w:t>
      </w:r>
    </w:p>
    <w:p w14:paraId="37469F9A" w14:textId="77777777" w:rsidR="00D240F3" w:rsidRPr="004E4D6B" w:rsidRDefault="00D240F3" w:rsidP="00124E81">
      <w:r>
        <w:t>5.1.1 Diretrizes de Políticas e Procedimentos de Licenciamento Ambiental</w:t>
      </w:r>
    </w:p>
    <w:p w14:paraId="2B65A6E5" w14:textId="77777777" w:rsidR="00D240F3" w:rsidRPr="004E4D6B" w:rsidRDefault="00D240F3" w:rsidP="00124E81">
      <w:r>
        <w:t>5.1.2 Uso e Ocupação do Solo</w:t>
      </w:r>
    </w:p>
    <w:p w14:paraId="72D9261F" w14:textId="77777777" w:rsidR="00D240F3" w:rsidRDefault="00D240F3" w:rsidP="00124E81">
      <w:r>
        <w:t>Áreas de Unidades de Conservação, outras áreas protegidas e intervenções permitidas por lei</w:t>
      </w:r>
    </w:p>
    <w:p w14:paraId="4A2ACBE4" w14:textId="77777777" w:rsidR="00124E81" w:rsidRDefault="00124E81" w:rsidP="00124E81">
      <w:r>
        <w:t>5.1.4 Preservação da fauna e flora</w:t>
      </w:r>
    </w:p>
    <w:p w14:paraId="3CFAF7ED" w14:textId="77777777" w:rsidR="00124E81" w:rsidRDefault="00124E81" w:rsidP="00124E81">
      <w:r>
        <w:t>Compensação Ambiental</w:t>
      </w:r>
    </w:p>
    <w:p w14:paraId="196AFE38" w14:textId="77777777" w:rsidR="00124E81" w:rsidRDefault="00124E81" w:rsidP="00124E81">
      <w:r>
        <w:t>Recursos hídricos disponíveis em superfícies e no subsolo</w:t>
      </w:r>
    </w:p>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t>Contaminação do Solo e Efluentes Líquidos</w:t>
      </w:r>
    </w:p>
    <w:p w14:paraId="03810534" w14:textId="4D917771" w:rsidR="00D240F3" w:rsidRDefault="00D240F3" w:rsidP="00124E81">
      <w:r>
        <w:t>5.1.10 Gerenciamento de Resíduos Sólidos</w:t>
      </w:r>
    </w:p>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t>5.1.12 Comunidades indígenas, quilombolas, pesqueiras e outras comunidades tradicionais.</w:t>
      </w:r>
    </w:p>
    <w:p w14:paraId="662A208B" w14:textId="77777777" w:rsidR="00D240F3" w:rsidRPr="004E4D6B" w:rsidRDefault="00D240F3" w:rsidP="00124E81">
      <w:r>
        <w:t>5.1.13 Patrimônio Cultural, Artístico, Histórico e Arqueológico.</w:t>
      </w:r>
    </w:p>
    <w:p w14:paraId="792F6051" w14:textId="389AA284" w:rsidR="00D240F3" w:rsidRDefault="00D240F3" w:rsidP="00124E81">
      <w:r>
        <w:t>5.1.14 Legislação Municipal 18</w:t>
      </w:r>
    </w:p>
    <w:p w14:paraId="1F5982B0" w14:textId="77777777" w:rsidR="00780E68" w:rsidRPr="00780E68" w:rsidRDefault="00780E68" w:rsidP="00780E68">
      <w:r>
        <w:t>5.2 Legislação Técnica Relevante para o Empreendimento 19</w:t>
      </w:r>
    </w:p>
    <w:p w14:paraId="43FDD8BA" w14:textId="47F76085" w:rsidR="008D5A05" w:rsidRDefault="008D5A05" w:rsidP="008D5A05">
      <w:r>
        <w:t>5.3 Diversas demandas judiciais e administrativas 25</w:t>
      </w:r>
    </w:p>
    <w:p w14:paraId="783EAC33" w14:textId="77777777" w:rsidR="00780E68" w:rsidRDefault="00780E68" w:rsidP="008D5A05">
      <w:r>
        <w:t>Legislação Aplicável</w:t>
      </w:r>
    </w:p>
    <w:p w14:paraId="76DF5DEB" w14:textId="77777777" w:rsidR="008D5A05" w:rsidRPr="008D5A05" w:rsidRDefault="008D5A05" w:rsidP="008D5A05">
      <w:r>
        <w:t>Este capítulo descreve a legislação ambiental e técnica aplicável ao projeto de licenciamento da Linha de Transmissão (LT) de 525 kV entre Abdon Batista 2 e Curitiba Oeste, bem como a Subestação Curitiba Oeste. A análise visa fornecer ao órgão ambiental competente o suporte necessário no processo de licenciamento ambiental e auxiliar o empreendedor em suas decisões, oferecendo um referencial que facilita a compreensão do meio ambiente e dos objetivos deste Estudo de Impacto Ambiental (EIA), além dos aspectos jurídicos relacionados à construção e operação do empreendimento.</w:t>
      </w:r>
    </w:p>
    <w:p w14:paraId="1AC2B1AA" w14:textId="3A269296" w:rsidR="00EA6098" w:rsidRDefault="00EA6098" w:rsidP="00EA6098">
      <w:r>
        <w:t>É essencial que os estudos socioambientais abranjam todas as intervenções planejadas, tanto locais quanto regionais, diretas e indiretas, conectadas às ações descritas no projeto de engenharia. Assim, é mandatório observar todas as normas ambientais e técnicas aplicáveis, direta ou indiretamente.</w:t>
      </w:r>
    </w:p>
    <w:p w14:paraId="74D2576F" w14:textId="77777777" w:rsidR="00EA6098" w:rsidRPr="00EA6098" w:rsidRDefault="00EA6098" w:rsidP="00EA6098">
      <w:r>
        <w:t>Com a publicação da Lei nº 6.938/81, que instituiu a Política Nacional do Meio Ambiente (PNMA) antes mesmo da promulgação da Constituição Federal de 1988, o Brasil passou a integrar a variável ambiental nas decisões relacionadas a empreendimentos ou atividades que empregam recursos naturais. Esse processo tem se intensificado, e o arcabouço legal brasileiro, em termos de normas ambientais, exige cada vez mais a institucionalização do desenvolvimento sustentável em diversas organizações, sejam elas governamentais ou privadas.</w:t>
      </w:r>
    </w:p>
    <w:p w14:paraId="6AFBD24E" w14:textId="77777777" w:rsidR="00D240F3" w:rsidRDefault="00D240F3" w:rsidP="00124E81">
      <w:r>
        <w:t>A implantação de empreendimentos que atendem a estas normas, incluindo a implementação de iniciativas para mitigar os impactos ambientais negativos, é essencial para uma gestão estratégica eficiente dos recursos naturais. Nesse contexto, são apresentados a seguir os principais requisitos legais que regem o processo de licenciamento ambiental para projetos na área de energia nas esferas federal, estadual e municipal.</w:t>
      </w:r>
    </w:p>
    <w:p w14:paraId="471E39D5" w14:textId="77777777" w:rsidR="00124E81" w:rsidRPr="004E4D6B" w:rsidRDefault="00124E81" w:rsidP="00124E81">
      <w:r>
        <w:t>Orientações para o Licenciamento Ambiental</w:t>
      </w:r>
    </w:p>
    <w:p w14:paraId="647C3EDD" w14:textId="14C6358F" w:rsidR="00124E81" w:rsidRDefault="00FE157E" w:rsidP="00FD1806">
      <w:pPr>
        <w:pStyle w:val="ContracapaData"/>
      </w:pPr>
      <w:r>
        <w:t>O licenciamento ambiental é uma exigência legal que deve preceder a instalação de quaisquer empreendimentos ou atividades que possam poluir ou degradar o meio ambiente. Essa responsabilidade é dividida entre os órgãos ambientais estaduais e o Instituto Brasileiro do Meio Ambiente e dos Recursos Naturais Renováveis (IBAMA), entidades que compõem o Sistema Nacional de Meio Ambiente (SISNAMA).</w:t>
      </w:r>
    </w:p>
    <w:p w14:paraId="59BFE3AF" w14:textId="036C155D" w:rsidR="00D240F3" w:rsidRPr="004E4D6B" w:rsidRDefault="0001032F" w:rsidP="00124E81">
      <w:r>
        <w:t>As diretrizes fundamentais para a execução do licenciamento ambiental são definidas pela Lei Federal nº 6.938/81, juntamente com as Resoluções CONAMA nº 001, de 23 de janeiro de 1986, e nº 237, de 19 de dezembro de 1997. Além disso, a Lei Complementar nº 140, de 8 de dezembro de 2011, estabelece a competência estadual e federal para o licenciamento, fundamentando-se na localização do empreendimento.</w:t>
      </w:r>
    </w:p>
    <w:p w14:paraId="7941DB4C" w14:textId="672FC83E" w:rsidR="00FF6466" w:rsidRPr="004E4D6B" w:rsidRDefault="00036EE1" w:rsidP="00365635">
      <w:pPr>
        <w:pStyle w:val="Sumrio"/>
      </w:pPr>
      <w:r>
        <w:t>Além disso, é relevante considerar o Decreto nº 8.437, de 22 de abril de 2015, que estabelece a tipologia de empreendimentos e atividades cujo licenciamento ambiental é de competência da União. O art. 3º, § 3º, do mesmo decreto, especifica que esses empreendimentos serão licenciados pelo órgão ambiental federal.</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Quando o Comitê de Monitoramento do Setor Elétrico (CMSE) identifica situações que ameaçam a continuidade e a segurança do fornecimento de energia elétrica, ou quando o Conselho Nacional de Política Energética (CNPE) assinala a necessidade de implementar sistemas de transmissão de energia associados a projetos estratégicos.</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De acordo com a Lei Complementar nº 140, de 8 de dezembro de 2011, a responsabilidade pelo licenciamento (federal, estadual ou municipal) é determinada pela localização do empreendimento. O licenciamento ambiental da LT 525 kV Abdon Batista 2 – Curitiba Oeste e da Subestação Curitiba Oeste é, inicialmente, de competência federal, pois, conforme o Art. 7º da referida Lei, o projeto está situado em mais de um Estado.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Graúna Transmissora de Energia S.A. - Carta CE-STEP-TO-0006-V.1, 2019.</w:t>
      </w:r>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Dado que a linha de transmissão mencionada é de grande porte (V ≥ 230 kV) e será implementada na região do bioma Mata Atlântica, conforme a Lei Federal n° 11.428/2006, é obrigatório seguir o procedimento padrão para licenciamento ambiental, que inclui a elaboração do Estudo de Impacto Ambiental e o Relatório de Impacto Ambiental correspondente.</w:t>
      </w:r>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Processos de Obtenção de Licenças Ambientais</w:t>
      </w:r>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Para licenciar ou regularizar empreendimentos junto ao IMA, a abertura de processo deve ser feita exclusivamente via Serviços On-line, no Software de Licenciamento Ambiental Web (SinFAT Web). O empreendedor precisa completar cinco etapas, que incluem:</w:t>
      </w:r>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Etapa 1: Registro do empreendedor ou empreendimento.</w:t>
      </w:r>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Etapa 2: Escolha da modalidade de licenciamento;</w:t>
      </w:r>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Fase 3: Especificação do tipo de licenciamento.</w:t>
      </w:r>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Etapa 4: Emissão dos seguintes documentos: Formulário de Caracterização do Empreendimento Integrado (FCEI), Documento de Arrecadação de Receitas Estaduais (DARE) e Instrução Normativa (IN).</w:t>
      </w:r>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Etapa 5: Realização do pagamento do DARE e envio da documentação digital requerida.</w:t>
      </w:r>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A obtenção do número do processo de licenciamento no IMA ocorre somente após a conclusão das cinco etapas iniciais e a submissão do EIA, acompanhada pelas certidões de conformidade de uso e ocupação do solo emitidas pelas prefeituras municipais afetadas pelo empreendimento.</w:t>
      </w:r>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Normas Ambientais Relacionadas ao Projeto</w:t>
      </w:r>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Os projetos de transmissão de energia geram múltiplas situações que precisam ser avaliadas e resolvidas conforme a legislação aplicável nos âmbitos federal, estadual e municipal.</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Nesse contexto, realizou-se um levantamento das principais leis, decretos, resoluções, instruções normativas e portarias, selecionando-se os textos que possuem aplicação direta e imediata em empreendimentos desse tipo. A pesquisa enfatizou especialmente as exigências constitucionais, as preocupações ambientais e as necessidades relacionadas ao licenciamento ambiental.</w:t>
      </w:r>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solicitado conforme o Termo de Referência (TR) nº 2023/45.</w:t>
      </w:r>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Normas e procedimentos de licenciamento ambiental</w:t>
      </w:r>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Quadro 5.1-1 – Legislação relativa à política e ao licenciamento ambiental aplicável ao empreendimento.</w:t>
      </w:r>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r>
        <w:t>Quadro 5.1-2: Normativa de uso e ocupação do solo relevante para o projeto.</w:t>
      </w:r>
    </w:p>
    <w:p w14:paraId="75556DA5" w14:textId="77777777" w:rsidR="00FF6466" w:rsidRPr="004E4D6B" w:rsidRDefault="00FF6466" w:rsidP="00974B02">
      <w:r>
        <w:t>Unidades de Conservação, outras áreas protegidas e intervenções autorizadas por lei</w:t>
      </w:r>
    </w:p>
    <w:p w14:paraId="777EE5D0" w14:textId="563D5B76" w:rsidR="001E7531" w:rsidRDefault="00A86CE3" w:rsidP="00365635">
      <w:pPr>
        <w:pStyle w:val="Ttulo1"/>
        <w:numPr>
          <w:ilvl w:val="0"/>
          <w:numId w:val="21"/>
        </w:numPr>
      </w:pPr>
      <w:r>
        <w:t>Quadro 5.1-3: Legislação relevante para áreas ambientalmente protegidas aplicável ao empreendimento.</w:t>
      </w:r>
    </w:p>
    <w:p w14:paraId="766B7333" w14:textId="20639B2A" w:rsidR="00FF3ECE" w:rsidRPr="000D1940" w:rsidRDefault="00FF3ECE" w:rsidP="00FF3ECE">
      <w:r>
        <w:t>Preservação de espécies animais e vegetais</w:t>
      </w:r>
    </w:p>
    <w:p w14:paraId="132F7519" w14:textId="77777777" w:rsidR="00FF3ECE" w:rsidRPr="000D1940" w:rsidRDefault="00FF3ECE" w:rsidP="00FF3ECE">
      <w:r>
        <w:t>QUADRO 5.1-4 – Legislação de conservação da fauna e da flora aplicável ao projeto.</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Esse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t>QUADRO 5.1-5 – Legislação referente à compensação ambiental aplicável ao empreendimento.</w:t>
      </w:r>
    </w:p>
    <w:p w14:paraId="6DA89799" w14:textId="77777777" w:rsidR="00FF3ECE" w:rsidRDefault="00FF3ECE" w:rsidP="003A60DD">
      <w:pPr>
        <w:pStyle w:val="TtuloExtra"/>
      </w:pPr>
      <w:r>
        <w:t>Recursos hídricos de superfície e subterrâneos</w:t>
      </w:r>
    </w:p>
    <w:p w14:paraId="430DFD60" w14:textId="77777777" w:rsidR="00F4220C" w:rsidRDefault="00F4220C" w:rsidP="00F4220C">
      <w:pPr>
        <w:rPr>
          <w:rFonts w:ascii="Segoe UI" w:hAnsi="Segoe UI" w:cs="Segoe UI"/>
          <w:sz w:val="18"/>
          <w:szCs w:val="18"/>
        </w:rPr>
      </w:pPr>
      <w:r>
        <w:t>Quadro 5.1-6: Legislação pertinente a recursos hídricos superficiais e subterrâneos aplicada ao empreendimento.</w:t>
      </w:r>
    </w:p>
    <w:p w14:paraId="0ABE3168" w14:textId="77777777" w:rsidR="00F4220C" w:rsidRDefault="00F4220C" w:rsidP="00F4220C">
      <w:pPr>
        <w:rPr>
          <w:rFonts w:ascii="Segoe UI" w:hAnsi="Segoe UI" w:cs="Segoe UI"/>
          <w:sz w:val="18"/>
          <w:szCs w:val="18"/>
        </w:rPr>
      </w:pPr>
      <w:r>
        <w:t>Emissão de Poluentes Atmosféricos</w:t>
      </w:r>
    </w:p>
    <w:p w14:paraId="45B0CFCE" w14:textId="77777777" w:rsidR="00F4220C" w:rsidRDefault="00F4220C" w:rsidP="00403556">
      <w:pPr>
        <w:rPr>
          <w:rFonts w:ascii="Segoe UI" w:hAnsi="Segoe UI" w:cs="Segoe UI"/>
          <w:sz w:val="18"/>
          <w:szCs w:val="18"/>
        </w:rPr>
      </w:pPr>
      <w:r>
        <w:t>QUADRO 5.1-7 - Normas legais sobre emissões atmosféricas relevantes para o projeto.</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Interferências Acústicas.</w:t>
      </w:r>
    </w:p>
    <w:p w14:paraId="063D0802" w14:textId="4120F6F7" w:rsidR="00FF3ECE" w:rsidRDefault="00FF3ECE" w:rsidP="00FF3ECE">
      <w:pPr>
        <w:rPr>
          <w:lang w:eastAsia="pt-BR"/>
        </w:rPr>
      </w:pPr>
      <w:r>
        <w:t>QUADRO 5.1-8 – Legislação referente a ruídos aplicável ao empreendimento.</w:t>
      </w:r>
    </w:p>
    <w:p w14:paraId="371A6B22" w14:textId="621A9C94" w:rsidR="00EF761D" w:rsidRPr="000D1940" w:rsidRDefault="00EF761D" w:rsidP="00FF3ECE">
      <w:pPr>
        <w:rPr>
          <w:lang w:eastAsia="pt-BR"/>
        </w:rPr>
      </w:pPr>
      <w:r>
        <w:t>Contaminação do Solo e Efluentes Líquidos</w:t>
      </w:r>
    </w:p>
    <w:p w14:paraId="5DA633CA" w14:textId="43753937" w:rsidR="00FF3ECE" w:rsidRPr="000D1940" w:rsidRDefault="00DE461A" w:rsidP="00FF3ECE">
      <w:r>
        <w:t>Quadro 5.1-9: Legislação aplicável ao empreendimento para poluição do solo e efluentes líquidos.</w:t>
      </w:r>
    </w:p>
    <w:p w14:paraId="4C1DA3E6" w14:textId="77777777" w:rsidR="00FF3ECE" w:rsidRPr="000D1940" w:rsidRDefault="00FF3ECE" w:rsidP="00FF3ECE">
      <w:r>
        <w:t>Gestão de Resíduos Sólidos</w:t>
      </w:r>
    </w:p>
    <w:p w14:paraId="28258E64" w14:textId="77777777" w:rsidR="00FF3ECE" w:rsidRPr="000D1940" w:rsidRDefault="00FF3ECE" w:rsidP="003A60DD">
      <w:pPr>
        <w:pStyle w:val="TtuloExtra"/>
      </w:pPr>
      <w:r>
        <w:t>Quadro 5.1-10: Regulamentação de resíduos sólidos pertinente ao empreendimento.</w:t>
      </w:r>
    </w:p>
    <w:p w14:paraId="43D45204" w14:textId="77777777" w:rsidR="00FF3ECE" w:rsidRPr="000D1940" w:rsidRDefault="00FF3ECE" w:rsidP="00FF3ECE">
      <w:pPr>
        <w:rPr>
          <w:lang w:eastAsia="pt-BR"/>
        </w:rPr>
      </w:pPr>
      <w:r>
        <w:t>Saneamento Básico e Saúde Pública</w:t>
      </w:r>
    </w:p>
    <w:p w14:paraId="435B4C6E" w14:textId="77777777" w:rsidR="00FF3ECE" w:rsidRPr="000D1940" w:rsidRDefault="00FF3ECE" w:rsidP="00FF3ECE">
      <w:pPr>
        <w:pStyle w:val="PargrafodaLista"/>
        <w:numPr>
          <w:ilvl w:val="0"/>
          <w:numId w:val="20"/>
        </w:numPr>
        <w:rPr>
          <w:lang w:eastAsia="pt-BR"/>
        </w:rPr>
      </w:pPr>
      <w:r>
        <w:t>Tabela 5.1-11: Legislação aplicável ao empreendimento referente à saúde pública e ocupacional, saneamento ambiental e segurança do trabalho.</w:t>
      </w:r>
    </w:p>
    <w:p w14:paraId="208FDDCC" w14:textId="77777777" w:rsidR="00FF3ECE" w:rsidRPr="000D1940" w:rsidRDefault="00FF3ECE" w:rsidP="00FF3ECE">
      <w:pPr>
        <w:pStyle w:val="PargrafodaLista"/>
        <w:numPr>
          <w:ilvl w:val="0"/>
          <w:numId w:val="20"/>
        </w:numPr>
        <w:rPr>
          <w:lang w:eastAsia="pt-BR"/>
        </w:rPr>
      </w:pPr>
      <w:r>
        <w:t>Comunidades tradicionais, incluindo indígenas, quilombolas, pesqueiras e outras.</w:t>
      </w:r>
    </w:p>
    <w:p w14:paraId="4A3C99AD" w14:textId="77777777" w:rsidR="00FF3ECE" w:rsidRPr="000D1940" w:rsidRDefault="00FF3ECE" w:rsidP="00FF3ECE">
      <w:pPr>
        <w:pStyle w:val="PargrafodaLista"/>
        <w:numPr>
          <w:ilvl w:val="0"/>
          <w:numId w:val="20"/>
        </w:numPr>
        <w:rPr>
          <w:lang w:eastAsia="pt-BR"/>
        </w:rPr>
      </w:pPr>
      <w:r>
        <w:t>Quadro 5.1-12: Legislação referente a territórios tradicionais e outras comunidades aplicável ao empreendimento.</w:t>
      </w:r>
    </w:p>
    <w:p w14:paraId="11E04F07" w14:textId="77777777" w:rsidR="00FF3ECE" w:rsidRPr="000D1940" w:rsidRDefault="00FF3ECE" w:rsidP="00FF3ECE">
      <w:pPr>
        <w:pStyle w:val="PargrafodaLista"/>
        <w:numPr>
          <w:ilvl w:val="0"/>
          <w:numId w:val="20"/>
        </w:numPr>
        <w:rPr>
          <w:lang w:eastAsia="pt-BR"/>
        </w:rPr>
      </w:pPr>
      <w:r>
        <w:t>Etapa 4: Emissão dos documentos: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t>Quadro 5.1-13: Legislação aplicável ao empreendimento sobre patrimônio cultural, artístico, histórico e arqueológico.</w:t>
      </w:r>
    </w:p>
    <w:p w14:paraId="0E81928B" w14:textId="002FF155" w:rsidR="00FF3ECE" w:rsidRPr="000D1940" w:rsidRDefault="00FF3ECE" w:rsidP="00FF3ECE">
      <w:pPr>
        <w:rPr>
          <w:lang w:eastAsia="pt-BR"/>
        </w:rPr>
      </w:pPr>
      <w:r>
        <w:t>Normativas Municipais</w:t>
      </w:r>
    </w:p>
    <w:p w14:paraId="1BDF93C6" w14:textId="77777777" w:rsidR="00FF3ECE" w:rsidRPr="000D1940" w:rsidRDefault="00FF3ECE" w:rsidP="00FF3ECE">
      <w:pPr>
        <w:pStyle w:val="Ttulo2"/>
      </w:pPr>
      <w:r>
        <w:t>A seguir, apresenta-se a relação da legislação ambiental básica dos municípios situados na Área de Influência (AI) do empreendimento.</w:t>
      </w:r>
    </w:p>
    <w:p w14:paraId="6B34CC06" w14:textId="687573B8" w:rsidR="00FF3ECE" w:rsidRPr="000D1940" w:rsidRDefault="00FF3ECE" w:rsidP="00FF3ECE">
      <w:pPr>
        <w:rPr>
          <w:lang w:eastAsia="pt-BR"/>
        </w:rPr>
      </w:pPr>
      <w:r>
        <w:t>Tabela 5.1-14: Legislação ambiental municipal pertinente ao projeto.</w:t>
      </w:r>
    </w:p>
    <w:p w14:paraId="6383EBC0" w14:textId="77777777" w:rsidR="00FF3ECE" w:rsidRPr="000D1940" w:rsidRDefault="00FF3ECE" w:rsidP="00FF3ECE">
      <w:pPr>
        <w:rPr>
          <w:lang w:eastAsia="pt-BR"/>
        </w:rPr>
      </w:pPr>
      <w:r>
        <w:t>Legislação Técnica Relevante para o Empreendimento</w:t>
      </w:r>
    </w:p>
    <w:p w14:paraId="56F82267" w14:textId="44D2F76D" w:rsidR="00FF3ECE" w:rsidRPr="000D1940" w:rsidRDefault="00FF3ECE" w:rsidP="00FF3ECE">
      <w:pPr>
        <w:rPr>
          <w:lang w:eastAsia="pt-BR"/>
        </w:rPr>
      </w:pPr>
      <w:r>
        <w:t>Empreendimentos de transmissão de energia, como a futura Linha de Transmissão 525 kV Abdon Batista – Curitiba Oeste e a Subestação Curitiba Oeste, demandam a aplicação de diversas legislações e normativas técnicas nos âmbitos federal, estadual e municipal.</w:t>
      </w:r>
    </w:p>
    <w:p w14:paraId="084CBAB7" w14:textId="77777777" w:rsidR="00FF3ECE" w:rsidRPr="000D1940" w:rsidRDefault="00FF3ECE" w:rsidP="00FF3ECE">
      <w:pPr>
        <w:rPr>
          <w:lang w:eastAsia="pt-BR"/>
        </w:rPr>
      </w:pPr>
      <w:r>
        <w:t>QUADRO 1: Legislação técnica pertinente ao empreendimento.</w:t>
      </w:r>
    </w:p>
    <w:p w14:paraId="02A3A42C" w14:textId="7AB5524B" w:rsidR="00FF3ECE" w:rsidRPr="000D1940" w:rsidRDefault="00FF3ECE" w:rsidP="00FF3ECE">
      <w:pPr>
        <w:pStyle w:val="Ttulo3"/>
      </w:pPr>
      <w:r>
        <w:t>Diversas demandas judiciais e administrativas</w:t>
      </w:r>
    </w:p>
    <w:p w14:paraId="5ADDED78" w14:textId="3FC290CE" w:rsidR="00FF3ECE" w:rsidRPr="00DC70B6" w:rsidRDefault="00FF3ECE" w:rsidP="00DC70B6">
      <w:pPr>
        <w:pStyle w:val="Legenda"/>
      </w:pPr>
      <w:r>
        <w:t>Quadro 5.1-1 – Legislação de política e licenciamento ambiental aplicável ao empreendimento.</w:t>
      </w:r>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rsidRPr="0049732B">
              <w:rPr>
                <w:rFonts w:cstheme="minorHAnsi"/>
                <w:szCs w:val="18"/>
              </w:rPr>
              <w:t>Dispõe sobre a aprovação de modelos para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rsidRPr="0049732B">
              <w:rPr>
                <w:rFonts w:cstheme="minorHAnsi"/>
                <w:szCs w:val="18"/>
              </w:rP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rsidRPr="0049732B">
              <w:rPr>
                <w:rFonts w:cstheme="minorHAnsi"/>
                <w:szCs w:val="18"/>
              </w:rP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t>Resolução CONAMA nº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rsidRPr="0049732B">
              <w:rPr>
                <w:rFonts w:cstheme="minorHAnsi"/>
                <w:szCs w:val="18"/>
              </w:rPr>
              <w:t>Define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 a Resolução CONAMA nº 1/86 e revoga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t>Estabelece diretrizes para o licenciamento ambiental de postos de combustíveis e serviços, além de dispor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rsidRPr="0049732B">
              <w:rPr>
                <w:rFonts w:cstheme="minorHAnsi"/>
                <w:szCs w:val="18"/>
              </w:rPr>
              <w:t>Instrução Normativa IMA n°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à Reposição Florestal, nos termos da Lei Federal nº 4.771/65, Decreto Federal nº 5.975/06 e Instrução Normativa nº 06/06 do Ministério do Meio Ambiente (MMA), e estabelece critérios para 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rsidRPr="0049732B">
              <w:rPr>
                <w:rFonts w:cstheme="minorHAnsi"/>
                <w:bCs/>
                <w:szCs w:val="18"/>
              </w:rPr>
              <w:t>Institui a avaliação integrada da bacia hidrográfica para fins de licenciamento ambiental e estabelece outras providências.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t>Decreto nº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t>Altera e acrescenta dispositivos ao Decreto nº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rsidRPr="0049732B">
              <w:rPr>
                <w:rFonts w:cstheme="minorHAnsi"/>
                <w:szCs w:val="18"/>
              </w:rP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rsidRPr="0049732B">
              <w:rPr>
                <w:rFonts w:cstheme="minorHAnsi"/>
                <w:szCs w:val="18"/>
              </w:rP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diretrizes sobre a emissão de autorizações para captura, coleta e transporte de material biológico, visando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rsidRPr="0049732B">
              <w:rPr>
                <w:rFonts w:cstheme="minorHAnsi"/>
                <w:szCs w:val="18"/>
              </w:rP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Alteram-se e acrescentam-se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rsidRPr="0049732B">
              <w:rPr>
                <w:rFonts w:cstheme="minorHAnsi"/>
                <w:szCs w:val="18"/>
              </w:rPr>
              <w:t>Lei Complementar n</w:t>
            </w:r>
            <w:r w:rsidRPr="0049732B">
              <w:rPr>
                <w:rFonts w:cstheme="minorHAnsi"/>
                <w:szCs w:val="18"/>
                <w:u w:val="single"/>
                <w:vertAlign w:val="superscript"/>
              </w:rPr>
              <w:t>o</w:t>
            </w:r>
            <w:r w:rsidRPr="0049732B">
              <w:rPr>
                <w:rFonts w:cstheme="minorHAnsi"/>
                <w:szCs w:val="18"/>
              </w:rPr>
              <w:t xml:space="preserve">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de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t>Definir a documentação necessária à Autorização Ambiental (AuA)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nºs 10.438, de 26 de abril de 2002, 12.111, de 9 de dezembro de 2009, 9.648, de 27 de maio de 1998, 9.427, de 26 de dezembro de 1996, e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t>Altera os dispositivos da Lei Estadual nº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n.º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para 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t>Estabelece procedimentos administrativos que disciplinam a atuação dos órgãos e entidades da administração pública federal em processos de licenciamento ambiental sob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rsidRPr="0049732B">
              <w:rPr>
                <w:rFonts w:cstheme="minorHAnsi"/>
                <w:szCs w:val="18"/>
              </w:rPr>
              <w:t>Dispõe sobre a criação do Instituto do Meio Ambiente do Estado de Santa Catarina (IMA) e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rsidRPr="0049732B">
              <w:rPr>
                <w:rFonts w:cstheme="minorHAnsi"/>
                <w:szCs w:val="18"/>
              </w:rPr>
              <w:t>Instrução Normativa IMA n°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t>Portaria IMA nº 68</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rsidRPr="0049732B">
              <w:rPr>
                <w:rFonts w:cstheme="minorHAnsi"/>
                <w:szCs w:val="18"/>
              </w:rPr>
              <w:t>Estabelece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rsidRPr="0049732B">
              <w:rPr>
                <w:rFonts w:cstheme="minorHAnsi"/>
                <w:szCs w:val="18"/>
              </w:rPr>
              <w:t>Disciplina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rsidRPr="0049732B">
              <w:rPr>
                <w:rFonts w:cstheme="minorHAnsi"/>
                <w:szCs w:val="18"/>
              </w:rPr>
              <w:t>Estabelece os procedimentos para apuração de</w:t>
            </w:r>
            <w:r w:rsidRPr="0049732B">
              <w:rPr>
                <w:rFonts w:cstheme="minorHAnsi"/>
                <w:szCs w:val="18"/>
              </w:rPr>
              <w:t xml:space="preserve"> </w:t>
            </w:r>
            <w:r w:rsidRPr="0049732B">
              <w:rPr>
                <w:rFonts w:cstheme="minorHAnsi"/>
                <w:szCs w:val="18"/>
              </w:rPr>
              <w:t>infrações administrativas ambientais por</w:t>
            </w:r>
            <w:r w:rsidRPr="0049732B">
              <w:rPr>
                <w:rFonts w:cstheme="minorHAnsi"/>
                <w:szCs w:val="18"/>
              </w:rPr>
              <w:t xml:space="preserve"> </w:t>
            </w:r>
            <w:r w:rsidRPr="0049732B">
              <w:rPr>
                <w:rFonts w:cstheme="minorHAnsi"/>
                <w:szCs w:val="18"/>
              </w:rPr>
              <w:t>condutas e atividades lesivas ao meio ambiente,</w:t>
            </w:r>
            <w:r w:rsidRPr="0049732B">
              <w:rPr>
                <w:rFonts w:cstheme="minorHAnsi"/>
                <w:szCs w:val="18"/>
              </w:rPr>
              <w:t xml:space="preserve"> </w:t>
            </w:r>
            <w:r w:rsidRPr="0049732B">
              <w:rPr>
                <w:rFonts w:cstheme="minorHAnsi"/>
                <w:szCs w:val="18"/>
              </w:rPr>
              <w:t>instrumentalizados mediante o devido processo</w:t>
            </w:r>
            <w:r w:rsidRPr="0049732B">
              <w:rPr>
                <w:rFonts w:cstheme="minorHAnsi"/>
                <w:szCs w:val="18"/>
              </w:rPr>
              <w:t xml:space="preserve"> </w:t>
            </w:r>
            <w:r w:rsidRPr="0049732B">
              <w:rPr>
                <w:rFonts w:cstheme="minorHAnsi"/>
                <w:szCs w:val="18"/>
              </w:rPr>
              <w:t>legal, através do qual serão apuradas as</w:t>
            </w:r>
            <w:r w:rsidRPr="0049732B">
              <w:rPr>
                <w:rFonts w:cstheme="minorHAnsi"/>
                <w:szCs w:val="18"/>
              </w:rPr>
              <w:t xml:space="preserve"> </w:t>
            </w:r>
            <w:r w:rsidRPr="0049732B">
              <w:rPr>
                <w:rFonts w:cstheme="minorHAnsi"/>
                <w:szCs w:val="18"/>
              </w:rPr>
              <w:t>responsabilidades por infrações ambientais, com</w:t>
            </w:r>
            <w:r w:rsidRPr="0049732B">
              <w:rPr>
                <w:rFonts w:cstheme="minorHAnsi"/>
                <w:szCs w:val="18"/>
              </w:rPr>
              <w:t xml:space="preserve"> </w:t>
            </w:r>
            <w:r w:rsidRPr="0049732B">
              <w:rPr>
                <w:rFonts w:cstheme="minorHAnsi"/>
                <w:szCs w:val="18"/>
              </w:rPr>
              <w:t>imposição das sanções, a defesa, o sistema</w:t>
            </w:r>
            <w:r w:rsidRPr="0049732B">
              <w:rPr>
                <w:rFonts w:cstheme="minorHAnsi"/>
                <w:szCs w:val="18"/>
              </w:rPr>
              <w:t xml:space="preserve"> </w:t>
            </w:r>
            <w:r w:rsidRPr="0049732B">
              <w:rPr>
                <w:rFonts w:cstheme="minorHAnsi"/>
                <w:szCs w:val="18"/>
              </w:rPr>
              <w:t>recursal e a execução administrativa de multas</w:t>
            </w:r>
          </w:p>
          <w:p w14:paraId="17E92830" w14:textId="0BFADD4A" w:rsidR="0030608D" w:rsidRPr="0049732B" w:rsidRDefault="00D03C1F" w:rsidP="00D03C1F">
            <w:pPr>
              <w:spacing w:before="0" w:after="0"/>
              <w:jc w:val="left"/>
              <w:rPr>
                <w:rFonts w:cstheme="minorHAnsi"/>
                <w:szCs w:val="18"/>
              </w:rPr>
            </w:pPr>
            <w:r w:rsidRPr="0049732B">
              <w:rPr>
                <w:rFonts w:cstheme="minorHAnsi"/>
                <w:szCs w:val="18"/>
              </w:rPr>
              <w:t>no âmbito dos órgãos executores da Política</w:t>
            </w:r>
            <w:r w:rsidRPr="0049732B">
              <w:rPr>
                <w:rFonts w:cstheme="minorHAnsi"/>
                <w:szCs w:val="18"/>
              </w:rPr>
              <w:t xml:space="preserve"> </w:t>
            </w:r>
            <w:r w:rsidRPr="0049732B">
              <w:rPr>
                <w:rFonts w:cstheme="minorHAnsi"/>
                <w:szCs w:val="18"/>
              </w:rPr>
              <w:t>Estadual do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t>2019 e atualiza o rol de ocupações, considerando os profissionais sob fiscalização do Conselho Federal dos Técnicos Agrícolas e do 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t>Institui a Orientação Técnica Normativa nº 01/2022-Dilic, que consolida o tratamento técnico e regulatório a ser dado ao tema de abertura de picadas e trilhas no âmbito dos processos de licenciamento ambiental federal, conforme 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rsidRPr="0049732B">
              <w:rPr>
                <w:rFonts w:cstheme="minorHAnsi"/>
                <w:szCs w:val="18"/>
              </w:rPr>
              <w:t xml:space="preserve">Estabelece as diretrizes gerais aplicáveis aos processos de licenciamento ambiental para todas as atividades no estado de Santa Catarina. </w:t>
            </w:r>
          </w:p>
        </w:tc>
      </w:tr>
    </w:tbl>
    <w:p w14:paraId="75B279E3" w14:textId="34FD766F" w:rsidR="00FF3ECE" w:rsidRPr="000D1940" w:rsidRDefault="004F343E" w:rsidP="00DC70B6">
      <w:pPr>
        <w:pStyle w:val="Ttulo3"/>
      </w:pPr>
      <w:r>
        <w:t>SOBRENOME, Nome do autor. Uso e ocupação do solo. Local de publicação: Editora, ano.</w:t>
      </w:r>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rsidRPr="00DC70B6">
              <w:rPr>
                <w:rFonts w:cstheme="minorHAnsi"/>
                <w:szCs w:val="18"/>
              </w:rPr>
              <w:t>Define as normas para outorga e prorrogações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t>Parecer DNPM/PROGE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rsidRPr="00DC70B6">
              <w:rPr>
                <w:rFonts w:cstheme="minorHAnsi"/>
                <w:szCs w:val="18"/>
              </w:rPr>
              <w:t>Instrui sobre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t>Lei Ordinária nº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rsidRPr="00DC70B6">
              <w:rPr>
                <w:rFonts w:cstheme="minorHAnsi"/>
                <w:szCs w:val="18"/>
              </w:rP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pelas Leis 17.987/2020, 18.639/2023 e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rsidRPr="00DC70B6">
              <w:rPr>
                <w:rFonts w:cstheme="minorHAnsi"/>
                <w:szCs w:val="18"/>
              </w:rP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 DUP, de áreas de terra necessárias à implantação de instalações de geração 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e intervenções legalmente autorizadas</w:t>
      </w:r>
    </w:p>
    <w:p w14:paraId="58943ACA" w14:textId="6DF632F1" w:rsidR="00FF3ECE" w:rsidRPr="000D1940" w:rsidRDefault="00FF3ECE" w:rsidP="00FF3ECE">
      <w:pPr>
        <w:pStyle w:val="Legenda"/>
        <w:rPr>
          <w:rFonts w:asciiTheme="majorHAnsi" w:hAnsiTheme="majorHAnsi"/>
        </w:rPr>
      </w:pPr>
      <w:bookmarkStart w:id="57" w:name="_Toc12360571"/>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3</w:t>
      </w:r>
      <w:r w:rsidRPr="00DC70B6">
        <w:fldChar w:fldCharType="end"/>
      </w:r>
      <w:r w:rsidRPr="00DC70B6">
        <w:t>: Legislação das áreas ambientalmente protegidas aplicável ao empreendimento</w:t>
      </w:r>
      <w:r w:rsidRPr="000D1940">
        <w:rPr>
          <w:rFonts w:asciiTheme="majorHAnsi" w:hAnsiTheme="majorHAnsi"/>
        </w:rPr>
        <w:t>.</w:t>
      </w:r>
      <w:bookmarkEnd w:id="57"/>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009</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rsidRPr="00DC70B6">
              <w:rPr>
                <w:rFonts w:cstheme="minorHAnsi"/>
                <w:szCs w:val="18"/>
              </w:rPr>
              <w:t>Decreto n°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t>Cria a Floresta Nacional de Ibirama, no Estado de Santa Catarina, e dá outras providências.</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t>Regulamenta o art. 225, § 1º,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utilização sustentável e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rsidRPr="00DC70B6">
              <w:rPr>
                <w:rFonts w:cstheme="minorHAnsi"/>
                <w:szCs w:val="18"/>
              </w:rP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w:t>
            </w:r>
            <w:r w:rsidRPr="00DC70B6">
              <w:rPr>
                <w:rFonts w:cstheme="minorHAnsi"/>
                <w:szCs w:val="18"/>
                <w:u w:val="single"/>
                <w:vertAlign w:val="superscript"/>
              </w:rPr>
              <w:t xml:space="preserve">o </w:t>
            </w:r>
            <w:r>
              <w:rPr>
                <w:rFonts w:cstheme="minorHAnsi"/>
                <w:szCs w:val="18"/>
              </w:rPr>
              <w:t>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Reconhece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t>Define a metodologia para a classificação do grau de relevância das cavidades naturais subterrâneas, conforme previsto no art. 5º do Decreto nº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rsidRPr="00DC70B6">
              <w:rPr>
                <w:rFonts w:cstheme="minorHAnsi"/>
                <w:szCs w:val="18"/>
              </w:rPr>
              <w:t>Instrução Normativa IMA n°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t>Portaria MMA nº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r>
        <w:t>QUADRO 5.1-4 – Legislação de conservação da fauna e flora aplicável ao empreendimento.</w:t>
      </w:r>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rsidRPr="00DC70B6">
              <w:rPr>
                <w:rFonts w:cstheme="minorHAnsi"/>
                <w:szCs w:val="18"/>
              </w:rPr>
              <w:t>Deliberação CONSEMA n°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t>Decreto Federal nº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constitui-se em licença obrigatória para o controle do transporte e armazenamento de produtos e subprodutos florestais de origem nativa, alterada pelas Instruções Normativas IBAMA nos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em Perigo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t>Resolução CONSEMA nº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da vegetação nativa. Altera as Leis nº 6.938, de 31 de agosto de 1981, 9.393, de 19 de dezembro de 1996, e 11.428, de 22 de dezembro de 2006. Revoga as Leis nos 4.771, de 15 de setembro de 1965, e 7.754, de 14 de abril de 1989, e a Medida Provisória no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das Espécies da Flora Ameaçada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constantes da 'Lista Nacional Oficial de Espécies da Flora Ameaçadas de Extinção' e estabelece 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a solicitação da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rPr>
                <w:rFonts w:cstheme="minorHAnsi"/>
                <w:szCs w:val="18"/>
              </w:rPr>
              <w:t xml:space="preserve">Supressão de vegetação nativa em área rural </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t>Instrução Normativa n.º 38</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rPr>
                <w:rFonts w:cstheme="minorHAnsi"/>
                <w:szCs w:val="18"/>
              </w:rP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Áreas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t>de estudos e procedimentos relacionados a empreendimentos/atividades sujeitos ao licenciamento 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r>
        <w:t>QUADRO 5.1-5 – Legislação de compensação ambiental aplicável ao empreendimento.</w:t>
      </w:r>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t>Declara o uso das atribuições que lhe são conferidas pela Lei nº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rsidRPr="00DC70B6">
              <w:rPr>
                <w:rFonts w:cstheme="minorHAnsi"/>
                <w:sz w:val="20"/>
              </w:rP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t>Estabelece diretrizes para os órgãos ambientais no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rsidRPr="00DC70B6">
              <w:rPr>
                <w:rFonts w:cstheme="minorHAnsi"/>
                <w:sz w:val="20"/>
              </w:rP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rsidRPr="0098032E">
              <w:rPr>
                <w:rFonts w:cstheme="minorHAnsi"/>
                <w:sz w:val="20"/>
              </w:rPr>
              <w:t>Estabelece os procedimentos para fins de cumprimento</w:t>
            </w:r>
            <w:r>
              <w:rPr>
                <w:rFonts w:cstheme="minorHAnsi"/>
                <w:sz w:val="20"/>
              </w:rPr>
              <w:t xml:space="preserve"> </w:t>
            </w:r>
            <w:r w:rsidRPr="0098032E">
              <w:rPr>
                <w:rFonts w:cstheme="minorHAnsi"/>
                <w:sz w:val="20"/>
              </w:rPr>
              <w:t>do compromisso de compensação ambiental decorrente</w:t>
            </w:r>
            <w:r>
              <w:rPr>
                <w:rFonts w:cstheme="minorHAnsi"/>
                <w:sz w:val="20"/>
              </w:rPr>
              <w:t xml:space="preserve"> </w:t>
            </w:r>
            <w:r w:rsidRPr="0098032E">
              <w:rPr>
                <w:rFonts w:cstheme="minorHAnsi"/>
                <w:sz w:val="20"/>
              </w:rPr>
              <w:t>do licenciamento ambiental de significativo impacto</w:t>
            </w:r>
            <w:r>
              <w:rPr>
                <w:rFonts w:cstheme="minorHAnsi"/>
                <w:sz w:val="20"/>
              </w:rPr>
              <w:t xml:space="preserve"> </w:t>
            </w:r>
            <w:r w:rsidRPr="0098032E">
              <w:rPr>
                <w:rFonts w:cstheme="minorHAnsi"/>
                <w:sz w:val="20"/>
              </w:rPr>
              <w:t>ambiental.</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rPr>
                <w:rFonts w:cstheme="minorHAnsi"/>
                <w:sz w:val="20"/>
              </w:rP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t>Estabelece um rito processual claro e detalhado para a compensação da Reserva Legal, essencial para imóveis que, até 22 de julho de 2008, apresentavam remanescentes de vegetação nativa abaixo dos percentuais mínimos estipulados pela lei.</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rsidRPr="00627A8A">
              <w:rPr>
                <w:rFonts w:cstheme="minorHAnsi"/>
                <w:szCs w:val="18"/>
              </w:rPr>
              <w:t>Institui a Política Nacional de Recursos Hídricos e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rsidRPr="00EB4005">
              <w:rPr>
                <w:rFonts w:cstheme="minorHAnsi"/>
                <w:szCs w:val="18"/>
              </w:rPr>
              <w:t>obtenção da outorga de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t>Dispõe sobre procedimentos gerais para o enquadramento.</w:t>
            </w:r>
          </w:p>
          <w:p w14:paraId="1712289B" w14:textId="26C909C7" w:rsidR="00EB4005" w:rsidRPr="00627A8A" w:rsidRDefault="006F4962" w:rsidP="006F4962">
            <w:pPr>
              <w:spacing w:before="0" w:after="0"/>
              <w:jc w:val="left"/>
              <w:rPr>
                <w:rFonts w:cstheme="minorHAnsi"/>
                <w:szCs w:val="18"/>
              </w:rPr>
            </w:pPr>
            <w:r>
              <w:t>dos corpos d'água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r>
        <w:t>QUADRO 5.1-7 - Legislação de emissões atmosféricas aplicável ao empreendimento.</w:t>
      </w:r>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rsidRPr="004C1A0A">
              <w:rPr>
                <w:rFonts w:cstheme="minorHAnsi"/>
                <w:szCs w:val="18"/>
              </w:rP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com pedido.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r>
        <w:t>QUADRO 5.1-8 – Legislação de ruídos aplicável ao empreendimento.</w:t>
      </w:r>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Estabelece as condições exigíveis para 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t>Portaria MINTER nº 92/1980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t>Define os níveis de ruído compatíveis com o conforto acústico em diversos ambientes.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rsidRPr="00DC70B6">
              <w:rPr>
                <w:rFonts w:cstheme="minorHAnsi"/>
                <w:szCs w:val="18"/>
              </w:rPr>
              <w:t>Resolução CONAMA nº 01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rsidRPr="00DC70B6">
              <w:rPr>
                <w:rFonts w:cstheme="minorHAnsi"/>
                <w:szCs w:val="18"/>
              </w:rPr>
              <w:t>Dispõe sobre critérios de padrões de emissão de ruídos decorrentes de quaisquer atividades industriais, comerciais, sociais ou recreativas, inclusive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rsidRPr="00DC70B6">
              <w:rPr>
                <w:rFonts w:cstheme="minorHAnsi"/>
                <w:szCs w:val="18"/>
              </w:rPr>
              <w:t>Dispõe sobre a obrigatoriedade do registro das pessoas físicas ou jurídicas no cadastro técnico federal de pessoas físicas ou jurídicas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rsidRPr="00DC70B6">
              <w:rPr>
                <w:rFonts w:cstheme="minorHAnsi"/>
                <w:szCs w:val="18"/>
              </w:rP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t>Definir a documentação necessária para o licenciamento e estabelecer critérios para a apresentação dos planos, programas e projetos ambientais relativos ao serviço de coleta 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rsidRPr="00F34211">
              <w:rPr>
                <w:rFonts w:eastAsia="Times New Roman" w:cstheme="minorHAnsi"/>
                <w:szCs w:val="18"/>
                <w:lang w:eastAsia="pt-BR"/>
              </w:rPr>
              <w:t>Estabelece o código de cores para os diferentes tipos de resíduos, a ser adotado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rsidRPr="00F34211">
              <w:rPr>
                <w:rFonts w:cstheme="minorHAnsi"/>
                <w:szCs w:val="18"/>
              </w:rP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rsidRPr="00F34211">
              <w:rPr>
                <w:rFonts w:cstheme="minorHAnsi"/>
                <w:szCs w:val="18"/>
              </w:rPr>
              <w:t>Classifica os resíduos sólidos quanto aos seus riscos potenciais ao meio ambiente e à saúde pública, para que estes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rsidRPr="00F34211">
              <w:rPr>
                <w:rFonts w:cstheme="minorHAnsi"/>
                <w:szCs w:val="18"/>
              </w:rPr>
              <w:t>Resolução CONAMA nº448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r>
        <w:t>Quadro 5.1-11: Legislação de saúde pública e dos trabalhadores, saneamento ambiental e segurança do trabalho aplicáveis ao empreendimento.</w:t>
      </w:r>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rsidRPr="00F34211">
              <w:rPr>
                <w:rFonts w:cstheme="minorHAnsi"/>
                <w:szCs w:val="18"/>
              </w:rPr>
              <w:t>Estabelece as atividades e operações insalubres e define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Estabelecem-se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a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t>Estabelece a obrigatoriedade dos Serviços Especializados em Engenharia de Segurança e em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rsidRPr="00F34211">
              <w:rPr>
                <w:rFonts w:cstheme="minorHAnsi"/>
                <w:szCs w:val="18"/>
              </w:rPr>
              <w:t>Estabelece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do processo administrativo para identificação, reconhecimento, delimitação, demarcação, desintrusão, titulação e.</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rsidRPr="00271630">
              <w:rPr>
                <w:rFonts w:cstheme="minorHAnsi"/>
                <w:szCs w:val="18"/>
              </w:rPr>
              <w:t>Estabelece procedimentos administrativos que</w:t>
            </w:r>
            <w:r>
              <w:rPr>
                <w:rFonts w:cstheme="minorHAnsi"/>
                <w:szCs w:val="18"/>
              </w:rPr>
              <w:t xml:space="preserve"> </w:t>
            </w:r>
            <w:r w:rsidRPr="00271630">
              <w:rPr>
                <w:rFonts w:cstheme="minorHAnsi"/>
                <w:szCs w:val="18"/>
              </w:rPr>
              <w:t>disciplinam a atuação dos órgãos e entidades da</w:t>
            </w:r>
            <w:r>
              <w:rPr>
                <w:rFonts w:cstheme="minorHAnsi"/>
                <w:szCs w:val="18"/>
              </w:rPr>
              <w:t xml:space="preserve"> </w:t>
            </w:r>
            <w:r w:rsidRPr="00271630">
              <w:rPr>
                <w:rFonts w:cstheme="minorHAnsi"/>
                <w:szCs w:val="18"/>
              </w:rPr>
              <w:t>administração pública federal em processos de</w:t>
            </w:r>
          </w:p>
          <w:p w14:paraId="0CD8ED3B" w14:textId="14606BBC" w:rsidR="001C6728" w:rsidRPr="00F34211" w:rsidRDefault="00271630" w:rsidP="00271630">
            <w:pPr>
              <w:spacing w:before="0" w:after="0"/>
              <w:jc w:val="left"/>
              <w:rPr>
                <w:rFonts w:cstheme="minorHAnsi"/>
                <w:szCs w:val="18"/>
              </w:rPr>
            </w:pPr>
            <w:r>
              <w:t>Licenciamento ambiental de competência do Instituto Brasileiro do Meio Ambiente e dos Recursos Naturais Renováveis (IBAMA).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rPr>
                <w:rFonts w:cstheme="minorHAnsi"/>
                <w:szCs w:val="18"/>
              </w:rP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procedimentos para anuência do uso de áreas em projetos de assentamento do Incra para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t>Estabelece procedimentos administrativos a serem observados pelo Instituto do Patrimônio Histórico e Artístico Nacional nos processos de licenciamento ambiental dos quais participa.</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t>Decreto n.º 050, de 07/10/2029 – Estabelece procedimentos para licenciamento ambiental no âmbito do município e dá outras providências.</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t>Lei Complementar nº 97 de 09/12/2008 – Institui o Plano Diretor de Desenvolvimento Municipal, dispõe sobre as normas, fixa os objetivos e as diretrizes urbanísticas do município de Fraiburgo, e dá outras providências.</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Orgânica do Município de Frei Rogério, de 05/04/1990, e suas atualizações.</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t>Lei Complementar nº 18, de 22/12/2006 – Institui o Plano Diretor Participativo do município de Mafra e dá outras providências.</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t>Lei nº 1.221, de 20 de setembro de 1982 — Institui o código de obras do município de Mafra.</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AC2E0D">
              <w:rPr>
                <w:rFonts w:cstheme="minorHAnsi"/>
                <w:szCs w:val="18"/>
              </w:rPr>
              <w:t>86</w:t>
            </w:r>
            <w:r w:rsidRPr="0045598C">
              <w:rPr>
                <w:rFonts w:cstheme="minorHAnsi"/>
                <w:szCs w:val="18"/>
              </w:rPr>
              <w:t xml:space="preserve"> de </w:t>
            </w:r>
            <w:r w:rsidR="00AC2E0D">
              <w:rPr>
                <w:rFonts w:cstheme="minorHAnsi"/>
                <w:szCs w:val="18"/>
              </w:rPr>
              <w:t>22</w:t>
            </w:r>
            <w:r w:rsidRPr="0045598C">
              <w:rPr>
                <w:rFonts w:cstheme="minorHAnsi"/>
                <w:szCs w:val="18"/>
              </w:rPr>
              <w:t>/</w:t>
            </w:r>
            <w:r w:rsidR="00AC2E0D">
              <w:rPr>
                <w:rFonts w:cstheme="minorHAnsi"/>
                <w:szCs w:val="18"/>
              </w:rPr>
              <w:t>09</w:t>
            </w:r>
            <w:r w:rsidRPr="0045598C">
              <w:rPr>
                <w:rFonts w:cstheme="minorHAnsi"/>
                <w:szCs w:val="18"/>
              </w:rPr>
              <w:t>/20</w:t>
            </w:r>
            <w:r w:rsidR="00AC2E0D">
              <w:rPr>
                <w:rFonts w:cstheme="minorHAnsi"/>
                <w:szCs w:val="18"/>
              </w:rPr>
              <w:t>22</w:t>
            </w:r>
            <w:r w:rsidRPr="0045598C">
              <w:rPr>
                <w:rFonts w:cstheme="minorHAnsi"/>
                <w:szCs w:val="18"/>
              </w:rPr>
              <w:t xml:space="preserve"> – </w:t>
            </w:r>
            <w:r w:rsidR="00AC2E0D">
              <w:rPr>
                <w:rFonts w:cstheme="minorHAnsi"/>
                <w:szCs w:val="18"/>
              </w:rPr>
              <w:t xml:space="preserve">Dispõe sobre o ordenamento territorial, definindo o zoneamento, uso e ocupação do solo, sistema viário do perímetro urbano da sede do município de Mafra. </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rPr>
                <w:rFonts w:cstheme="minorHAnsi"/>
                <w:szCs w:val="18"/>
              </w:rPr>
              <w:t xml:space="preserve">Lei Ordinária nº 1.753/2013 – Dispõe sobre a criação do conselho e do fundo municipal do meio ambiente no âmbito do município de Santa Cecília e dá outras providências. </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 11 de 27/11/2003 – Institui o Plano Diretor Físico-Territorial,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t>Lei Orgânica do Município de Lapa, de 17/03/2020.</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rPr>
                <w:rFonts w:cstheme="minorHAnsi"/>
                <w:szCs w:val="18"/>
              </w:rPr>
              <w:t xml:space="preserve">Lei nº 3.700 de 20/03/2020 – Institui a revisão do Plano Diretor Municipal da Lapa, estabelece as diretrizes para o planejamento do município e dá outras providências. </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rsidRPr="000D1940">
        <w:rPr>
          <w:lang w:eastAsia="pt-BR"/>
        </w:rPr>
        <w:t>Os empreendimentos de transmissão de energia do porte da futura LT 525</w:t>
      </w:r>
      <w:r w:rsidR="00EB1172">
        <w:rPr>
          <w:lang w:eastAsia="pt-BR"/>
        </w:rPr>
        <w:t xml:space="preserve"> Abdon Batista – Curitiba Oeste e Subestação Curitiba Oeste</w:t>
      </w:r>
      <w:r w:rsidRPr="000D1940">
        <w:rPr>
          <w:lang w:eastAsia="pt-BR"/>
        </w:rPr>
        <w:t>, exigem diversas legislações e normativas técnicas pertinentes em nível federal, estadual e municipal.</w:t>
      </w:r>
    </w:p>
    <w:p w14:paraId="5C2C80E6" w14:textId="23273BE8" w:rsidR="00FF3ECE" w:rsidRPr="000D1940" w:rsidRDefault="00FF3ECE" w:rsidP="00DF7244">
      <w:pPr>
        <w:pStyle w:val="LegendaImagensGrficos"/>
      </w:pPr>
      <w:r>
        <w:t>QUADRO 1: Legislação técnica aplicável ao empreendimento.</w:t>
      </w:r>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t>Resolução ANEEL nº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t>Decreto nº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para as ferragens eletrotécnicas, usadas em linhas aéreas de transmissão e subestações de alta e extra-alta tensão.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concha e bola. Atualizado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t>Altera o Decreto nº 84.938 de 16/01/1980, que dispõe sobre a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 e trincheira, bem como critérios para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Fixa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t>Fixa as condições exigíveis para a execução de levantamentos topográficos.</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nº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outorga e prorrogações das concessões e permissões de serviços públicos. Altera a Lei nº 8.987/1995. Alterada pelas Leis nº 9.648/1998 e nº 10.848/2004. Regulamentada, em parte, pelo Decreto nº 6.160/2007.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como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t>Estabelece procedimentos para prorrogação das concessões dos serviços públicos de energia elétrica de que trata a Lei nº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rsidRPr="00DF7244">
              <w:rPr>
                <w:rFonts w:cstheme="minorHAnsi"/>
                <w:szCs w:val="18"/>
              </w:rPr>
              <w:t>Institui a Agência Nacional de Energia Elétrica (ANEEL) e disciplina o regime das concessões de serviços públicos de energia elétrica. Alterada pelas Leis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t>Especifica as características dos cabos nus de cobre mole, revestidos ou não, de secção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t>Altera o Decreto nº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9.074/95 e nº 9.427/96 e autoriza o Poder Executivo a promover a reestruturação das Centrais Elétricas Brasileiras - ELETROBRÁS e de suas subsidiárias. Alterada pelas Leis nº 10.438/02, nº 10.848/04 e nº 12.111/09.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rsidRPr="00DF7244">
              <w:rPr>
                <w:rFonts w:cstheme="minorHAnsi"/>
                <w:szCs w:val="18"/>
              </w:rPr>
              <w:t>Resolução ANEEL n°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rsidRPr="00DF7244">
              <w:rPr>
                <w:rFonts w:cstheme="minorHAnsi"/>
                <w:szCs w:val="18"/>
              </w:rPr>
              <w:t>Resolução ANEEL n°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compreendendo o uso, a conexão, os sistemas de transmissão e a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t>Estabelece a composição da Rede Básica do sistema elétrico interligado brasileiro, suas conexões e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t>Fixa as diretrizes para 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do poder desaguante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rsidRPr="00DF7244">
              <w:rPr>
                <w:rFonts w:cstheme="minorHAnsi"/>
                <w:szCs w:val="18"/>
              </w:rPr>
              <w:t>Dispõe sobre a expansão da oferta de energia elétrica emergencial, recomposição tarifária extraordinária, cria o Programa de Incentivo às Fontes Alternativas de Energia Elétrica (Proinfa), a Conta de Desenvolvimento Energético (CDE), dispõe sobre a universalização do serviço público de energia elétrica e dá nova redação às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rsidRPr="00DF7244">
              <w:rPr>
                <w:rFonts w:cstheme="minorHAnsi"/>
                <w:szCs w:val="18"/>
              </w:rPr>
              <w:t>Regulamenta a comercialização de energia elétrica, o processo de outorga de concessões e de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4º e 5º da Lei 10.848/04, e dispõe sobre a organização, as atribuições e o funcionamento da Câmara de Comercialização de Energia Elétrica (CCEE). Alterado pelo Decreto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o processo de outorga de concessões e de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t>Altera dispositivos do Decreto 5.163/04, que regulamenta a comercialização de energia elétrica, o processo de outorga de concessões e de autorizações para a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advertências em linhas aéreas de transmissão de energia elétrica, doravante designadas linhas ou LT,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rsidRPr="00DF7244">
              <w:rPr>
                <w:rFonts w:cstheme="minorHAnsi"/>
                <w:szCs w:val="18"/>
              </w:rPr>
              <w:t>Fixa os critérios mínimos para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t>Regulamenta o acesso de consumidores livres às redes de transmissão de energia elétrica e dá outras providências. Altera o § 8.º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prorrogação das concessões de uso do bem público dos empreendimentos de geração de energia elétrica, de que trata o art. 17 da Lei nº 10.848/2004. Altera o Decreto nº 5.163/2004, alterado pelo Decreto nº 7.317/2010.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Fixa os requisitos exigíveis para a verificação da segurança das estruturas usuais da construção civil em relação às ações de sismos, bem como os critérios de quantificação dessas ações e das resistências a serem consideradas no projeto das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t>Estabelece a metodologia de medição e níveis de referência para exposição a campos elétricos e magnéticos de 50 Hz e 60 Hz para o público geral, ao redor das instalações de geração, transmissão e distribuição de energia elétrica acima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rsidRPr="00DF7244">
              <w:rPr>
                <w:rFonts w:cstheme="minorHAnsi"/>
                <w:szCs w:val="18"/>
              </w:rPr>
              <w:t>Altera as condições gerais da prestação de transmissão e contratação do acesso, compreendendo os Contratos de Prestação do Serviço de Transmissão (CPST), Contratos de Uso de Sistemas e Transmissão (CUST) e dos Contratos de Conexão ao Sistema de Transmissão (CCST) vinculadas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rsidRPr="00DF7244">
              <w:rPr>
                <w:rFonts w:cstheme="minorHAnsi"/>
                <w:szCs w:val="18"/>
              </w:rP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rsidRPr="00DF7244">
              <w:rPr>
                <w:rFonts w:cstheme="minorHAnsi"/>
                <w:szCs w:val="18"/>
              </w:rPr>
              <w:t xml:space="preserve">Altera os </w:t>
            </w:r>
            <w:proofErr w:type="spellStart"/>
            <w:r w:rsidRPr="00DF7244">
              <w:rPr>
                <w:rFonts w:cstheme="minorHAnsi"/>
                <w:szCs w:val="18"/>
              </w:rPr>
              <w:t>Arts</w:t>
            </w:r>
            <w:proofErr w:type="spellEnd"/>
            <w:r w:rsidRPr="00DF7244">
              <w:rPr>
                <w:rFonts w:cstheme="minorHAnsi"/>
                <w:szCs w:val="18"/>
              </w:rPr>
              <w:t>. 11, 19, 27, 34 e 36 do Decreto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alumínio 1350 nus,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rsidRPr="00DF7244">
              <w:rPr>
                <w:rFonts w:cstheme="minorHAnsi"/>
                <w:szCs w:val="18"/>
              </w:rPr>
              <w:t>Estabelece os procedimentos gerais para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rsidRPr="00DF7244">
              <w:rPr>
                <w:rFonts w:cstheme="minorHAnsi"/>
                <w:szCs w:val="18"/>
              </w:rP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5.163/04, que regulamenta a comercialização de energia elétrica, o processo de outorga de concessões e de autorizações de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rsidRPr="00DF7244">
              <w:rPr>
                <w:rFonts w:cstheme="minorHAnsi"/>
                <w:szCs w:val="18"/>
              </w:rPr>
              <w:t>Regulamenta a contratação de energia de reserva de que trata o § 3º do art. 3º.-A Lei 10.848/04, altera o art. 44 do Decreto 5.163/04 e o art. 2º do Decreto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Determina as condições exigíveis para a fabricação, qualificação, aceitação e/ou recebimento de cabos de alumínio nus (CA), utilizados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rsidRPr="00DF7244">
              <w:rPr>
                <w:rFonts w:cstheme="minorHAnsi"/>
                <w:szCs w:val="18"/>
              </w:rPr>
              <w:t>Dá nova redação ao art. 54 do Decreto 5.163/04,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rsidRPr="00DF7244">
              <w:rPr>
                <w:rFonts w:cstheme="minorHAnsi"/>
                <w:szCs w:val="18"/>
              </w:rP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11.934, no que se refere aos limites à exposição humana a campos elétricos e magnéticos originários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t>Resolução ANEEL nº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e as instalações de transmissão de interligações internacionais no Sistema Interligado Nacional -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3º, 18, 24 e 27 do Decreto nº 5.163, de 30 de julho de 2004, que regulamenta a comercialização de energia elétrica, o processo de outorga de concessões e de autorizações de geração de energia elétrica, e dá outra providência.</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t>Fornece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rsidRPr="00DF7244">
              <w:rPr>
                <w:rFonts w:cstheme="minorHAnsi"/>
                <w:szCs w:val="18"/>
              </w:rPr>
              <w:t xml:space="preserve">Dá nova redação aos </w:t>
            </w:r>
            <w:proofErr w:type="spellStart"/>
            <w:r w:rsidRPr="00DF7244">
              <w:rPr>
                <w:rFonts w:cstheme="minorHAnsi"/>
                <w:szCs w:val="18"/>
              </w:rPr>
              <w:t>Arts</w:t>
            </w:r>
            <w:proofErr w:type="spellEnd"/>
            <w:r w:rsidRPr="00DF7244">
              <w:rPr>
                <w:rFonts w:cstheme="minorHAnsi"/>
                <w:szCs w:val="18"/>
              </w:rPr>
              <w:t>. 24, 36 e 40 do Decreto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rsidRPr="00DF7244">
              <w:rPr>
                <w:rFonts w:cstheme="minorHAnsi"/>
                <w:szCs w:val="18"/>
              </w:rPr>
              <w:t>Altera a Resolução Normativa ANEEL 279/07.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aplicáveis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t>Especifica os requisitos de iluminação para locais de trabalho internos, visando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rsidRPr="00DF7244">
              <w:rPr>
                <w:rFonts w:cstheme="minorHAnsi"/>
                <w:szCs w:val="18"/>
              </w:rPr>
              <w:t xml:space="preserve">Aplica-se a </w:t>
            </w:r>
            <w:proofErr w:type="spellStart"/>
            <w:r w:rsidRPr="00DF7244">
              <w:rPr>
                <w:rFonts w:cstheme="minorHAnsi"/>
                <w:szCs w:val="18"/>
              </w:rPr>
              <w:t>cupilhas</w:t>
            </w:r>
            <w:proofErr w:type="spellEnd"/>
            <w:r w:rsidRPr="00DF7244">
              <w:rPr>
                <w:rFonts w:cstheme="minorHAnsi"/>
                <w:szCs w:val="18"/>
              </w:rPr>
              <w:t xml:space="preserve">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rsidRPr="00DF7244">
              <w:rPr>
                <w:rFonts w:cstheme="minorHAnsi"/>
                <w:szCs w:val="18"/>
              </w:rPr>
              <w:t>Resolução ANEEL nº 616</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exigíveis para o projeto de estruturas de concreto simples, armado e protendido, excluindo aquelas em que se empregam concreto leve, pesado ou outros tipos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sinalização de identificação de linha aérea de transmissão de energia elétrica, bem como, quando necessário, da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