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5 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 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5.1.4 Conservação de fauna e flora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Poluição do Solo e Efluentes Líquidos</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5.1.11 Saúde Pública e Saneamento Básico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A implantação de empreendimentos em cumprimento a estas normas, desenvolvendo iniciativas capazes de mitigar os impactos ambientais negativos, é condição essencial para uma gestão estratégica eficiente dos recursos naturais. Neste contexto, apresentam-se, na sequência, os principais requisitos legais que regulam o processo de licenciamento ambiental para a implantação de projetos na área de energia nas esferas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são caracterizadas situações que comprometem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8 de dezembro de 2011, indica a esfera de licenciamento (federal, estadual e municipal) dependendo da localização do empreendimento. A competência do licenciamento ambiental da LT 525 kV Abdon Batista 2 – Curitiba Oeste e Subestação Curitiba Oeste enquadra-se inicialmente como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rPr>
          <w:lang w:eastAsia="pt-BR"/>
        </w:rPr>
        <w:t xml:space="preserve">No entanto, a Graúna Transmissora de Energia S.A., por meio da </w:t>
      </w:r>
      <w:r w:rsidR="00CB5F82">
        <w:rPr>
          <w:lang w:eastAsia="pt-BR"/>
        </w:rPr>
        <w:t xml:space="preserve">Carta CE-STEP-TO-0006-V.1, </w:t>
      </w:r>
      <w:r w:rsidR="00467A03">
        <w:rPr>
          <w:lang w:eastAsia="pt-BR"/>
        </w:rPr>
        <w:t>requereu ao IBAMA análise quanto à possibilidade de delegação de competência, à luz da Instrução Normativa 8/2019</w:t>
      </w:r>
      <w:r w:rsidR="006741F7">
        <w:rPr>
          <w:lang w:eastAsia="pt-BR"/>
        </w:rPr>
        <w:t>, visto que o empreendimento está incluído principalmente no estado de Santa Catarina</w:t>
      </w:r>
      <w:r w:rsidR="00131387">
        <w:rPr>
          <w:lang w:eastAsia="pt-BR"/>
        </w:rPr>
        <w:t xml:space="preserve">. Nesse contexto, o IBAMA delegou </w:t>
      </w:r>
      <w:commentRangeStart w:id="4"/>
      <w:r w:rsidR="00131387">
        <w:rPr>
          <w:lang w:eastAsia="pt-BR"/>
        </w:rPr>
        <w:t>ao IMA</w:t>
      </w:r>
      <w:r w:rsidR="00FA2E36">
        <w:rPr>
          <w:lang w:eastAsia="pt-BR"/>
        </w:rPr>
        <w:t>/SC</w:t>
      </w:r>
      <w:r w:rsidR="00131387">
        <w:rPr>
          <w:lang w:eastAsia="pt-BR"/>
        </w:rPr>
        <w:t xml:space="preserve"> </w:t>
      </w:r>
      <w:r w:rsidR="007836DF">
        <w:rPr>
          <w:lang w:eastAsia="pt-BR"/>
        </w:rPr>
        <w:t>em XXXXX, por meio do Ofício XXXX</w:t>
      </w:r>
      <w:commentRangeEnd w:id="4"/>
      <w:r w:rsidR="007836DF">
        <w:rPr>
          <w:rStyle w:val="Refdecomentrio"/>
        </w:rPr>
        <w:commentReference w:id="4"/>
      </w:r>
      <w:r w:rsidR="007836DF">
        <w:rPr>
          <w:lang w:eastAsia="pt-BR"/>
        </w:rPr>
        <w:t xml:space="preserve">, o licenciamento ambiental da </w:t>
      </w:r>
      <w:r w:rsidR="007836DF" w:rsidRPr="000D1940">
        <w:t xml:space="preserve">LT 525 kV </w:t>
      </w:r>
      <w:r w:rsidR="007836DF">
        <w:t xml:space="preserve">Abdon Batista 2 – Curitiba Oeste e Subestação Curitiba Oeste. </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r>
        <w:t>Procedimentos de Licenciamento Ambiental</w:t>
      </w:r>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classificando a legislação quanto à esfera (federal ou estadual), ao instrumento (número da legislação), à data do instrumento e a uma breve explicação da legislação. Os tópicos estão separados conforme solicitado pelo Termo de Referência - TR nº .</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t>Estabelece diretrizes para o licenciamento ambiental de postos de combustíveis e serviços, além de dispor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sobre a emissão de autorizações para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Alteram-se e acrescentam-se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à Autorização Ambiental (AuA)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t>Estabelece procedimentos administrativos que disciplinam a atuação dos órgãos e entidades da administração pública federal em processos de licenciamento ambiental sob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rsidRPr="0049732B">
              <w:rPr>
                <w:rFonts w:cstheme="minorHAnsi"/>
                <w:szCs w:val="18"/>
              </w:rP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conforme 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t>Lei Ordinária nº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 DUP, de áreas de terra necessárias à implantação de instalações de geração 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t>Define a metodologia para a classificação do grau de relevância das cavidades naturais subterrâneas, conforme previsto no art. 5º do Decreto nº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alterada pelas Instruções Normativas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t>Instrução Normativa n.º 38</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Áreas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no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rsidRPr="00DC70B6">
              <w:rPr>
                <w:rFonts w:cstheme="minorHAnsi"/>
                <w:sz w:val="20"/>
              </w:rP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92/1980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Define os níveis de ruído compatíveis com o conforto acústico em diversos ambientes.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rsidRPr="00DC70B6">
              <w:rPr>
                <w:rFonts w:cstheme="minorHAnsi"/>
                <w:szCs w:val="18"/>
              </w:rP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para o licenciamento e estabelecer critérios para a apresentação dos planos, programas e projetos ambientais relativos ao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rsidRPr="00F34211">
              <w:rPr>
                <w:rFonts w:cstheme="minorHAnsi"/>
                <w:szCs w:val="18"/>
              </w:rPr>
              <w:t>Resolução CONAMA nº448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r>
        <w:t>Quadro 5.1-11: Legislação de saúde pública e dos trabalhadores, saneamento ambiental e segurança do trabalho aplicáveis ao empreendimento.</w:t>
      </w:r>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para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t>Estabelece procedimentos administrativos a serem observados pelo Instituto do Patrimônio Histórico e Artístico Nacional nos processos de licenciamento ambiental dos quais participa.</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t>Decreto n.º 050, de 07/10/2029 – Estabelece procedimentos para licenciamento ambiental no âmbito do município e dá outras providências.</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t>Lei Complementar nº 97 de 09/12/2008 – Institui o Plano Diretor de Desenvolvimento Municipal, dispõe sobre as normas, fixa os objetivos e as diretrizes urbanísticas do município de Fraiburgo, e dá outras providências.</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Frei Rogério, de 05/04/1990, e suas atualizações.</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 de setembro de 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 11 de 27/11/2003 – Institui o Plano Diretor Físico-Territorial,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17/03/2020.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para 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concha e bola. Atualizado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 e trincheira, bem como critérios para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Fixa as condições exigíveis para a execução de levantamentos topográficos.</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8.987/1995. Alterada pelas Leis nº 9.648/1998 e nº 10.848/2004. Regulamentada, em parte, pelo Decreto nº 6.160/2007.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como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t>Estabelece procedimentos para prorrogação das concessões dos serviços públicos de energia elétrica de que trata a Lei nº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t>Especifica as características dos cabos nus de cobre mole, revestidos ou não, de secção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rsidRPr="00DF7244">
              <w:rPr>
                <w:rFonts w:cstheme="minorHAnsi"/>
                <w:szCs w:val="18"/>
              </w:rPr>
              <w:t>Resolução ANEEL n°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rsidRPr="00DF7244">
              <w:rPr>
                <w:rFonts w:cstheme="minorHAnsi"/>
                <w:szCs w:val="18"/>
              </w:rPr>
              <w:t>Resolução ANEEL n°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a conexão, os sistemas de transmissão e a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t>Estabelece a composição da Rede Básica do sistema elétrico interligado brasileiro, suas conexões e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t>Fixa as diretrizes para 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5.163/04, que regulamenta a comercialização de energia elétrica, o processo de outorga de concessões e de autorizações para a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10.848/2004. Altera o Decreto nº 5.163/2004, alterado pelo Decreto nº 7.317/2010.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Fixa os requisitos exigíveis para a verificação da segurança das estruturas usuais da construção civil em relação às ações de sismos, bem como 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níveis de referência para exposição a campos elétricos e magnéticos de 50 Hz e 60 Hz para o público geral, ao redor das instalações de geração, transmissão e distribuição de energia elétrica acima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rsidRPr="00DF7244">
              <w:rPr>
                <w:rFonts w:cstheme="minorHAnsi"/>
                <w:szCs w:val="18"/>
              </w:rPr>
              <w:t>Regulamenta a contratação de energia de reserva de que trata o § 3º do art. 3º.-A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Determina as condições exigíveis para a fabricação, qualificação, aceitação e/ou recebimento de cabos de alumínio nus (CA), utilizados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Fornece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aplicáveis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visando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rsidRPr="00DF7244">
              <w:rPr>
                <w:rFonts w:cstheme="minorHAnsi"/>
                <w:szCs w:val="18"/>
              </w:rPr>
              <w:t xml:space="preserve">Aplica-se a </w:t>
            </w:r>
            <w:proofErr w:type="spellStart"/>
            <w:r w:rsidRPr="00DF7244">
              <w:rPr>
                <w:rFonts w:cstheme="minorHAnsi"/>
                <w:szCs w:val="18"/>
              </w:rPr>
              <w:t>cupilhas</w:t>
            </w:r>
            <w:proofErr w:type="spellEnd"/>
            <w:r w:rsidRPr="00DF7244">
              <w:rPr>
                <w:rFonts w:cstheme="minorHAnsi"/>
                <w:szCs w:val="18"/>
              </w:rPr>
              <w:t xml:space="preserve">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