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 17</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fornecendo um referencial básico que auxilia na compreensão do meio ambiente e dos objetivos deste EIA, assim como 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No entanto, a Graúna Transmissora de Energia S.A., por meio da Carta CE-STEP-TO-0006-V.1, solicitou ao IBAMA uma análise sobre a possibilidade de delegação de competência, conforme a Instrução Normativa 8/2019, já que o empreendimento está localizado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w:t>
      </w:r>
      <w:r w:rsidR="00FF3ECE" w:rsidRPr="000D1940">
        <w:t xml:space="preserve">onsiderando que a LT supracitada é uma linha de transmissão de grande porte (V ≥ 230 kV) e será instalada na região do bioma Mata Atlântica (Lei Federal n° 11.428/156), se faz necessário adotar o procedimento ordinário de licenciamento ambiental, ou seja, elaborar o Estudo de Impacto Ambiental e respectivo Relatório de Impacto Ambiental. </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bookmarkStart w:id="8" w:name="_Hlk8654762"/>
      <w:bookmarkStart w:id="9" w:name="_Toc165194631"/>
      <w:bookmarkStart w:id="10" w:name="_Toc166044284"/>
      <w:bookmarkStart w:id="11" w:name="_Toc166044505"/>
      <w:bookmarkStart w:id="12" w:name="_Toc167070688"/>
      <w:bookmarkStart w:id="13" w:name="_Toc168463268"/>
      <w:bookmarkStart w:id="14" w:name="_Toc168727920"/>
      <w:bookmarkStart w:id="15" w:name="_Toc168728147"/>
      <w:bookmarkStart w:id="16" w:name="_Toc168734839"/>
      <w:bookmarkStart w:id="17" w:name="_Toc168749665"/>
      <w:bookmarkStart w:id="18" w:name="_Toc168752466"/>
      <w:bookmarkStart w:id="19" w:name="_Toc168752602"/>
      <w:bookmarkStart w:id="20" w:name="_Toc168767802"/>
      <w:bookmarkStart w:id="21" w:name="_Toc496806847"/>
      <w:r w:rsidRPr="000D1940">
        <w:rPr>
          <w:lang w:eastAsia="pt-BR"/>
        </w:rPr>
        <w:t xml:space="preserve">A solicitação de abertura de processo com o objetivo de licenciar ou regularizar empreendimento junto ao IMA deverá ser feita, exclusivamente, por meio do endereço eletrônico dos </w:t>
      </w:r>
      <w:r w:rsidRPr="000D1940">
        <w:rPr>
          <w:i/>
          <w:lang w:eastAsia="pt-BR"/>
        </w:rPr>
        <w:t>Serviços On-line</w:t>
      </w:r>
      <w:r w:rsidRPr="000D1940">
        <w:rPr>
          <w:lang w:eastAsia="pt-BR"/>
        </w:rPr>
        <w:t xml:space="preserve"> Software de Licenciamento Ambiental Web (</w:t>
      </w:r>
      <w:proofErr w:type="spellStart"/>
      <w:r w:rsidRPr="000D1940">
        <w:rPr>
          <w:lang w:eastAsia="pt-BR"/>
        </w:rPr>
        <w:t>SinFAT</w:t>
      </w:r>
      <w:proofErr w:type="spellEnd"/>
      <w:r w:rsidRPr="000D1940">
        <w:rPr>
          <w:lang w:eastAsia="pt-BR"/>
        </w:rPr>
        <w:t xml:space="preserve"> Web). O empreendedor deve cumprir cinco etapas, sendo essas: </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são apresentados em quadros, classificando a legislação pela esfera (federal ou estadual), instrumento (número da legislação), data do instrumento e breve explicação da legislação. Os tópicos estão organizados conforme solicitado pelo Termo de Referência - TR nº .</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t>Dispõe sobre a aprovação de modelos para 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licença de instalação (LI) e licença de operação (LO) durante 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t>Altera e acrescenta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t>Dispõe, no âmbito do licenciamento ambiental, sobre a autorização do órgão responsável pela administração da unidade de conservação (UC), conforme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normas sobre a emissão de autorizações para captura, coleta e transporte de material biológico com o objetivo de realizar atividades de levantamento, monitoramento e resgate/salvamento de fauna no contexto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rsidRPr="0049732B">
              <w:rPr>
                <w:rFonts w:cstheme="minorHAnsi"/>
                <w:szCs w:val="18"/>
              </w:rP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rsidRPr="0049732B">
              <w:rPr>
                <w:rFonts w:cstheme="minorHAnsi"/>
                <w:szCs w:val="18"/>
              </w:rP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t>Aprova a nova redação da Norma Regulamentadora n.º 01 - Disposições Gerais e Gerenciamento de Riscos Ocupacionais.</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atualizando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rsidRPr="0049732B">
              <w:rPr>
                <w:rFonts w:cstheme="minorHAnsi"/>
                <w:szCs w:val="18"/>
              </w:rP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t>Define as normas para 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t>Prorroga o prazo de inscrição no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rsidRPr="00DA65F6">
              <w:rPr>
                <w:rFonts w:cstheme="minorHAnsi"/>
                <w:szCs w:val="18"/>
              </w:rPr>
              <w:t>Estabelece os procedimentos gerais para requerimento de Declaração de Utilidade Pública -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bem como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t>Decreto nº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t>Cria-se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aspectos.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regras para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sem número</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 como áreas prioritárias para a conservação, a utilização sustentável e a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t>Instrução Normativa MMA nº 02, de 2002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t>Define a metodologia para a classificação do grau de relevância das cavidades naturais subterrâneas, conforme previsto no art. 5.º do Decreto n.º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de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também chamadas de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a esta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Alterado pelas Instruções Normativas do IBAMA n.º 134/06 e n.º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rsidRPr="00DC70B6">
              <w:rPr>
                <w:rFonts w:cstheme="minorHAnsi"/>
                <w:szCs w:val="18"/>
              </w:rPr>
              <w:t xml:space="preserve">Resolução </w:t>
            </w:r>
            <w:proofErr w:type="spellStart"/>
            <w:r w:rsidRPr="00DC70B6">
              <w:rPr>
                <w:rFonts w:cstheme="minorHAnsi"/>
                <w:szCs w:val="18"/>
              </w:rPr>
              <w:t>CFBio</w:t>
            </w:r>
            <w:proofErr w:type="spellEnd"/>
            <w:r w:rsidRPr="00DC70B6">
              <w:rPr>
                <w:rFonts w:cstheme="minorHAnsi"/>
                <w:szCs w:val="18"/>
              </w:rPr>
              <w:t xml:space="preserve"> n</w:t>
            </w:r>
            <w:r w:rsidRPr="00DC70B6">
              <w:rPr>
                <w:rFonts w:cstheme="minorHAnsi"/>
                <w:szCs w:val="18"/>
                <w:u w:val="single"/>
                <w:vertAlign w:val="superscript"/>
              </w:rPr>
              <w:t>o</w:t>
            </w:r>
            <w:r w:rsidRPr="00DC70B6">
              <w:rPr>
                <w:rFonts w:cstheme="minorHAnsi"/>
                <w:szCs w:val="18"/>
              </w:rPr>
              <w:t xml:space="preserve">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t>Regulamenta a compensação pela supressão de espécies ameaçadas de extinção, localizadas em fragmentos florestais 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cumprimento do compromisso de compensação ambiental decorrente do licenciamento ambiental de significativo impacto.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t>Resolução CNRH nº 32/2003.</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t>seguir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t>Resolução CNRH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 de instalação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Fixa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01/1986</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t>Dispõe sobre critérios de padrões de emissão de ruídos decorrentes de quaisquer atividades industriais, comerciais, sociais ou recreativas, incluindo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 de [inserir data específica],</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de pessoas físicas ou jurídicas no Cadastro Técnico Federal, para aquelas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para 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t>Estabelece a destinação correta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t>Define referências técnicas, princípios fundamentais e medidas de proteção para garantir a saúde e a integridade física dos trabalhadores, estabelecendo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t>Estabelece condições para trabalhos ao ar livre.</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rsidRPr="00F34211">
              <w:rPr>
                <w:rFonts w:cstheme="minorHAnsi"/>
                <w:szCs w:val="18"/>
              </w:rPr>
              <w:t>Resolução Normativa da ANEEL n</w:t>
            </w:r>
            <w:r w:rsidRPr="00F34211">
              <w:rPr>
                <w:rFonts w:cstheme="minorHAnsi"/>
                <w:szCs w:val="18"/>
                <w:u w:val="single"/>
                <w:vertAlign w:val="superscript"/>
              </w:rPr>
              <w:t>o</w:t>
            </w:r>
            <w:r w:rsidRPr="00F34211">
              <w:rPr>
                <w:rFonts w:cstheme="minorHAnsi"/>
                <w:szCs w:val="18"/>
              </w:rPr>
              <w:t xml:space="preserve">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rsidRPr="009E7947">
              <w:rPr>
                <w:rFonts w:cstheme="minorHAnsi"/>
                <w:szCs w:val="18"/>
              </w:rPr>
              <w:t>registro das terras ocupadas pelos remanescentes</w:t>
            </w:r>
            <w:r>
              <w:rPr>
                <w:rFonts w:cstheme="minorHAnsi"/>
                <w:szCs w:val="18"/>
              </w:rPr>
              <w:t xml:space="preserve"> </w:t>
            </w:r>
            <w:r w:rsidRPr="009E7947">
              <w:rPr>
                <w:rFonts w:cstheme="minorHAnsi"/>
                <w:szCs w:val="18"/>
              </w:rPr>
              <w:t>de comunidades dos quilombos.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regulamentam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 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032 de agosto de 2009 – Dispõe sobre o uso e ocupação do solo urbano (zoneamento) da sede do município de Brunópolis e dá outras providências.</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45 de 2006 – Institui o Plano Diretor de Desenvolvimento Municipal de Curitibanos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47, de 2006 – Dispõe sobre o código de obras do município de Curitibanos e dá outras providências.</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Major Vieira de abril de 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dezembro/1995.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t>Lei Orgânica do Município de Antônio Olinto de abril/1990.</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rsidRPr="00DF7244">
              <w:rPr>
                <w:rFonts w:cstheme="minorHAnsi"/>
                <w:szCs w:val="18"/>
              </w:rPr>
              <w:t>Portaria n°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Estabelece as condições exigíveis para as ferragens eletrotécnicas, utilizadas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para aceitação e recebimento de </w:t>
            </w:r>
            <w:proofErr w:type="spellStart"/>
            <w:r w:rsidRPr="00DF7244">
              <w:rPr>
                <w:rFonts w:cstheme="minorHAnsi"/>
                <w:szCs w:val="18"/>
              </w:rPr>
              <w:t>cupilhas</w:t>
            </w:r>
            <w:proofErr w:type="spellEnd"/>
            <w:r w:rsidRPr="00DF7244">
              <w:rPr>
                <w:rFonts w:cstheme="minorHAnsi"/>
                <w:szCs w:val="18"/>
              </w:rPr>
              <w:t xml:space="preserve"> para conchas de engates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os procedimentos básicos na abertura de poço e trincheira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9.074/1995.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n.º 9.648/98, n.º 10.438/02, n.º 10.848/04 e n.º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t>Especificam-se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 de 1997,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9.074/95 e 9.427/96 e autoriza o Poder Executivo a promover a reestruturação da Centrais Elétricas Brasileiras - Eletrobras e de suas subsidiárias. Tais alterações foram complementadas posteriormente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e a conexão, além dos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rsidRPr="00DF7244">
              <w:rPr>
                <w:rFonts w:cstheme="minorHAnsi"/>
                <w:szCs w:val="18"/>
              </w:rPr>
              <w:t>Resolução ANEEL n°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finalidades diversas em aplicações de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com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10.848/04, alterando o Decreto nº 5.163/04 e alterado pelo Decreto nº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necessários para a verificação da segurança das estruturas usuais da construção civil em relação às ações de sismos, assim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os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rsidRPr="00DF7244">
              <w:rPr>
                <w:rFonts w:cstheme="minorHAnsi"/>
                <w:szCs w:val="18"/>
              </w:rPr>
              <w:t>Resolução ANEEL n°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dos Sistemas de Transmissão (CUST) e os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5.163/2004,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rsidRPr="00DF7244">
              <w:rPr>
                <w:rFonts w:cstheme="minorHAnsi"/>
                <w:szCs w:val="18"/>
              </w:rPr>
              <w:t>Resolução ANEEL n°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 os requisitos a serem observados no projeto e na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básicos exigíveis para o projeto de estruturas de concreto simples, armado e protendido, excluídas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a determinação da relação entre o teor de umidade e a massa específica aparente seca de solos compactados, conforme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