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sobre os Impactos Ambientais da Construção da Rodovia Verde.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a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dos impactos ambientais resultantes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 crescente aumento do fluxo de veículos, a rodovia foi idealizada em resposta à pressão populacional local. O estudo inicial, por sua vez, não previa o volume de automóveis transportados diariamente, fator que contribuiu para a intensificação dos ruídos urbanos e a afetação dos espaços verdes. Segundo o relatório publicado no ano anterior, o número de árvores removidas foi de cerca de 2.345 indivíduos, sendo que algumas delas pertencem a espécies consideradas ameaçadas.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 poeira em suas residências, que aumentou significativamente desde o início das intervenções. Em relação aos animais silvestres, houve muitos registros de atropelamentos, principalmente durante o período chuvoso, quando a visibilidade fica prejudicada, agravando os acidentes. Não obstante, foi notada a presença de resíduos de obras descartados irregularmente, afetando corpos hídricos próximos. Além disso, existe também a questão do descarte inadequado de óleos e combustíveis utilizados pelas máquinas, que não foi mencionado nos primeiros relatórios.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ruídos, porém não foram consideradas as especificidades da fauna local, podendo gerar isolamento dos indivíduos. Apesar disso, a companhia afirma que foram tomadas providências para compensação ambiental, mas, até o presente momento, não houve informações claras a respeito das ações realizadas, o que dificulta a fiscalização e o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rPr>
          <w:rFonts w:ascii="Calibri" w:hAnsi="Calibri"/>
          <w:sz w:val="24"/>
        </w:rPr>
        <w:t>Em resumo, observa-se que a execução da rodovia trouxe benefícios limitados a mobilidade urbana, enquanto intensificou diferentes danos ambientais e sociais, cuja gravidade foi subestimado nas análises preliminares. Portanto, recomenda-se que sejam revistas as estratégias utilizadas, priorizando o envolvimento da comunidade e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garantia do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