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Poluição do Solo e Efluentes Líquidos</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5.1.11 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bem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 devem ser tomadas medidas para garantir a estabilidade do sistema.</w:t>
      </w:r>
    </w:p>
    <w:p w14:paraId="063D0802" w14:textId="4120F6F7" w:rsidR="00FF3ECE" w:rsidRDefault="00FF3ECE" w:rsidP="00FF3ECE">
      <w:pPr>
        <w:rPr>
          <w:lang w:eastAsia="pt-BR"/>
        </w:rPr>
      </w:pPr>
      <w:r>
        <w:t>A Lei Complementar nº 140, de 8 de dezembro de 2011, indica a esfera de licenciamento (federal, estadual e municipal) dependendo da localização do empreendimento. A competência do licenciamento ambiental da LT 525 kV Abdon Batista 2 – Curitiba Oeste e Subestação Curitiba Oeste, inicialmente, enquadra-se como de competência federal, visto que o empreendimento está localizado em dois ou mais estados, conforme o Art. 7º da referida lei.</w:t>
      </w:r>
    </w:p>
    <w:p w14:paraId="371A6B22" w14:textId="621A9C94" w:rsidR="00EF761D" w:rsidRPr="000D1940" w:rsidRDefault="00EF761D" w:rsidP="00FF3ECE">
      <w:pPr>
        <w:rPr>
          <w:lang w:eastAsia="pt-BR"/>
        </w:rPr>
      </w:pPr>
      <w:r>
        <w:t>No entanto, a Graúna Transmissora de Energia S.A., por meio da Carta CE-STEP-TO-0006-V.1, requereu ao IBAMA a análise quanto à possibilidade de delegação de competência, à luz da Instrução Normativa 8/2019, visto que o empreendimento está incluído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nº 11.428/156),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para licenciar ou regularizar empreendimento junto ao IMA deverá ser feita exclusivamente por meio do endereço eletrônico dos Serviços On-line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ocorre somente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classificando a legislação quanto à esfera (federal ou estadual), instrumento (número da legislação), data do instrumento e breve explicação da legislação. Os tópicos encontram-se separados conforme o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t>Dispõe sobre a Política Nacional do Meio Ambiente, seus objetivos e mecanismos de formulação e aplicação, e estabelece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006/1987</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t>Altera a Lei nº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além de estabelecer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procedimentos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determinando a cooperação entre a União, os Estados, o Distrito Federal e os Municípios em ações administrativas decorrentes do exercício da competência comum, relativas à proteção das paisagens naturais notáveis, à proteção do meio ambiente, ao combate à poluição em qualquer forma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rsidRPr="0049732B">
              <w:rPr>
                <w:rFonts w:cstheme="minorHAnsi"/>
                <w:szCs w:val="18"/>
              </w:rPr>
              <w:t>Unifica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r>
              <w:t>Estabelece os procedimentos administrativos no âmbito do Ibama para a delegação do licenciamento ambiental de competência federal para Órgão Estadual de Meio Ambiente (OEMA) ou Órgão Municipal de Meio Ambiente (OMMA).</w:t>
            </w:r>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através do qual serão apuradas as responsabilidades por infrações ambientais, com imposição das sanções, defesa, sistema recursal e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t>Dispõe sobre o regime de concessão e permissão da prestação de serviços públicos, conforme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outras áreas protegidas 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assuntos.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t>Dispõe sobre a proteção das cavidades naturais subterrâneas existentes no território nacional e adota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regras para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de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rsidRPr="00DC70B6">
              <w:rPr>
                <w:rFonts w:cstheme="minorHAnsi"/>
                <w:szCs w:val="18"/>
              </w:rPr>
              <w:t xml:space="preserve">Decreto MMA n° 5.758 </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t>Cria-se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Alterado pelas Instruções Normativas do IBAMA nºs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das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t>Dispõe sobre os procedimentos e métodos de eutanásia em animais e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t>Altera a Lei nº 12.651, de 25 de maio de 2012, que dispõe sobre a proteção da vegetação nativa; altera as Leis nºs 6.938, de 31 de agosto de 1981, 9.393, de 19 de dezembro de 1996, e 11.428, de 22 de dezembro de 2006; e revoga as Leis nºs 4.771, de 15 de setembro de 1965, e 7.754, de 14 de abril de 1989, a Medida Provisória nº 2.166/67, de 24 de agosto de 2001, o item 22 do inciso II do Art. 167 da Lei nº 6.015, de 31 de dezembro de 1973, e o § 2º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Reconhecem-se como espécies da flora brasileira ameaçadas de extinção aquelas constantes da 'Lista Nacional Oficial de Espécies da Flora Ameaçadas de Extinção', e estabelece-se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áreas rurais</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obtenção da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significativo impacto.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Estabelecem diretrizes para a articulação dos procedimentos para</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para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para aquelas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ao licenciamento e estabelecer critérios para a apresentação dos planos, programas e projetos ambientais para 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t>Estabelece a destinação correta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 as atividades e operações perigosas com clareza para assegurar o entendimento dos riscos.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t>Regulamenta a Lei nº 11.934, de 5 de maio de 2009, no que se refere aos limites de exposição humana a campos elétricos e magnéticos originados de instalações de geração, transmissão e distribuição de energia elétrica.</w:t>
            </w:r>
          </w:p>
        </w:tc>
      </w:tr>
    </w:tbl>
    <w:p w14:paraId="0876CF45" w14:textId="3356266B" w:rsidR="00FF3ECE" w:rsidRPr="000D1940" w:rsidRDefault="00573B75" w:rsidP="00F34211">
      <w:pPr>
        <w:pStyle w:val="Ttulo3"/>
      </w:pPr>
      <w:r>
        <w:t>Comunidades indígenas, quilombolas, pesqueiras e outras tradicionais.</w:t>
      </w:r>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para atividades ou empreendimentos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45 de 2006 – Institui o Plano Diretor de Desenvolvimento Municipal de Curitibanos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t>Lei Complementar nº 86, de 22 de setembro de 2022 – Dispõe sobre o ordenamento territorial, definindo o zoneamento, uso e ocupação do solo, e o sistema viário do perímetro urbano da sede do município de Mafra.</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t>Fixa as condições básicas para o projeto de linhas aéreas de transmissão de energia elétrica com tensão máxima, valor eficaz fase-fase, acima de 38 kV e não superior a 800 kV, para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para 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Define as condições exigíveis na consideração das forças decorrentes da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a outorga e prorrogação das concessões e permissões de serviços públicos. Altera a Lei 8.987/95, sendo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a transmissão, a distribuição e a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2.335/1997,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9.074/95 e 9.427/96 e autoriza o Poder Executivo a promover a reestruturação das Centrais Elétricas Brasileiras — ELETROBRÁS e de suas subsidiárias. Alterada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rsidRPr="00DF7244">
              <w:rPr>
                <w:rFonts w:cstheme="minorHAnsi"/>
                <w:szCs w:val="18"/>
              </w:rPr>
              <w:t>Resolução ANEEL n°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rsidRPr="00DF7244">
              <w:rPr>
                <w:rFonts w:cstheme="minorHAnsi"/>
                <w:szCs w:val="18"/>
              </w:rPr>
              <w:t>Resolução ANEEL n°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rsidRPr="00DF7244">
              <w:rPr>
                <w:rFonts w:cstheme="minorHAnsi"/>
                <w:szCs w:val="18"/>
              </w:rPr>
              <w:t>Prescreve o método de execução de sondagens de simples reconhecimento de solos, com SPT, cujas finalidades,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Fixa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dos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bem como o processo de outorga de concessões e autorizações para geração de energia elétrica. Foi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rsidRPr="00DF7244">
              <w:rPr>
                <w:rFonts w:cstheme="minorHAnsi"/>
                <w:szCs w:val="18"/>
              </w:rPr>
              <w:t>ABNT NBR ISSO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relativos a um sistema da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t>Estabelece os requisitos mínimos para as esferas de sinalização diurna utilizadas nas linhas aéreas de transmissão de energia elétrica, doravante denominadas linhas ou LTs.</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verificação da segurança das estruturas usuais da construção civil em relação às ações de sismos, bem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sua prestação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t>Especifica os requisitos exigidos para 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Especificam-se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486/2012.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e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rsidRPr="00DF7244">
              <w:rPr>
                <w:rFonts w:cstheme="minorHAnsi"/>
                <w:szCs w:val="18"/>
              </w:rPr>
              <w:t>Regulamenta a contratação de energia de reserva de que trata o § 3º do art. 3º.-A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 os requisitos a serem observados no projeto e na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Artigos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assegurando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básicos exigíveis para o projeto de estruturas de concreto simples, armado e protendido, excluídas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rsidRPr="00DF7244">
              <w:rPr>
                <w:rFonts w:cstheme="minorHAnsi"/>
                <w:szCs w:val="18"/>
              </w:rPr>
              <w:t>Especifica os isoladores para linhas aéreas com tensões acima de 1000 V; isoladores de porcelana ou vidro para linhas aéreas e subestações de alta.</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sinalização de identificação de linha aérea de transmissão de energia elétrica, bem como, quando necessário, de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