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t>5 LEGISLAÇÃO PERTINENTE</w:t>
      </w:r>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Unidades de Conservação e outras áreas protegidas, e intervenções legalmente autorizadas</w:t>
      </w:r>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5.1.7 Emissões Atmosféricas</w:t>
      </w:r>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1" w:history="1">
        <w:r w:rsidRPr="009F129C">
          <w:rPr>
            <w:rStyle w:val="Hyperlink"/>
            <w:noProof/>
          </w:rPr>
          <w:t>5.1.10</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Resíduos Sólidos</w:t>
        </w:r>
        <w:r>
          <w:rPr>
            <w:noProof/>
            <w:webHidden/>
          </w:rPr>
          <w:tab/>
        </w:r>
        <w:r>
          <w:rPr>
            <w:noProof/>
            <w:webHidden/>
          </w:rPr>
          <w:fldChar w:fldCharType="begin"/>
        </w:r>
        <w:r>
          <w:rPr>
            <w:noProof/>
            <w:webHidden/>
          </w:rPr>
          <w:instrText xml:space="preserve"> PAGEREF _Toc187845001 \h </w:instrText>
        </w:r>
        <w:r>
          <w:rPr>
            <w:noProof/>
            <w:webHidden/>
          </w:rPr>
        </w:r>
        <w:r>
          <w:rPr>
            <w:noProof/>
            <w:webHidden/>
          </w:rPr>
          <w:fldChar w:fldCharType="separate"/>
        </w:r>
        <w:r>
          <w:rPr>
            <w:noProof/>
            <w:webHidden/>
          </w:rPr>
          <w:t>16</w:t>
        </w:r>
        <w:r>
          <w:rPr>
            <w:noProof/>
            <w:webHidden/>
          </w:rPr>
          <w:fldChar w:fldCharType="end"/>
        </w:r>
      </w:hyperlink>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Saúde pública e saneamento básico</w:t>
      </w:r>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3" w:history="1">
        <w:r w:rsidRPr="009F129C">
          <w:rPr>
            <w:rStyle w:val="Hyperlink"/>
            <w:noProof/>
          </w:rPr>
          <w:t>5.1.12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Comunidades Indígenas, quilombolas, pesqueiras e outras tradicionais</w:t>
        </w:r>
        <w:r>
          <w:rPr>
            <w:noProof/>
            <w:webHidden/>
          </w:rPr>
          <w:tab/>
        </w:r>
        <w:r>
          <w:rPr>
            <w:noProof/>
            <w:webHidden/>
          </w:rPr>
          <w:fldChar w:fldCharType="begin"/>
        </w:r>
        <w:r>
          <w:rPr>
            <w:noProof/>
            <w:webHidden/>
          </w:rPr>
          <w:instrText xml:space="preserve"> PAGEREF _Toc187845003 \h </w:instrText>
        </w:r>
        <w:r>
          <w:rPr>
            <w:noProof/>
            <w:webHidden/>
          </w:rPr>
        </w:r>
        <w:r>
          <w:rPr>
            <w:noProof/>
            <w:webHidden/>
          </w:rPr>
          <w:fldChar w:fldCharType="separate"/>
        </w:r>
        <w:r>
          <w:rPr>
            <w:noProof/>
            <w:webHidden/>
          </w:rPr>
          <w:t>17</w:t>
        </w:r>
        <w:r>
          <w:rPr>
            <w:noProof/>
            <w:webHidden/>
          </w:rPr>
          <w:fldChar w:fldCharType="end"/>
        </w:r>
      </w:hyperlink>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5.1.13 Patrimônio Cultural, Artístico, Histórico e Arqueológico</w:t>
      </w:r>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5.2 A legislação técnica aplicável ao empreendimento</w:t>
      </w:r>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5.3 Demandas judiciais/administrativas diversas 25</w:t>
      </w:r>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o empreendedor em suas tomadas de decisão, por meio de um referencial básico que auxilie na compreensão do meio ambiente e dos objetivos deste EIA, assim como dos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rsidRPr="000D1940">
        <w:rPr>
          <w:lang w:eastAsia="pt-BR"/>
        </w:rP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rPr>
          <w:rStyle w:val="normaltextrun"/>
          <w:rFonts w:cs="Calibri"/>
        </w:rPr>
        <w:t>Considera-se ainda o Decreto nº 8.437, de 22 de abril de 2015, que dispõe a tipologia de empreendimentos e atividades cujo licenciamento ambiental será de competência da União, e que define, em seu art. 3º, § 3º, que os empreendimentos serão licenciados pelo órgão ambiental federal:</w:t>
      </w:r>
      <w:r>
        <w:rPr>
          <w:rStyle w:val="eop"/>
          <w:rFonts w:cs="Calibri"/>
        </w:rPr>
        <w:t> </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w:t>
      </w:r>
    </w:p>
    <w:p w14:paraId="063D0802" w14:textId="4120F6F7" w:rsidR="00FF3ECE" w:rsidRDefault="00FF3ECE" w:rsidP="00FF3ECE">
      <w:pPr>
        <w:rPr>
          <w:lang w:eastAsia="pt-BR"/>
        </w:rPr>
      </w:pPr>
      <w:r>
        <w:t>A Lei Complementar nº 140, de 8 de dezembro de 2011, indica a esfera de licenciamento (federal, estadual e municipal) a depender da localização do empreendimento. A competência do licenciamento ambiental da LT 525 kV Abdon Batista 2 – Curitiba Oeste e Subestação Curitiba Oeste, inicialmente, se enquadra como de competência federal, visto que o empreendimento está localizado em dois ou mais estados, conforme Art. 7º da referida Lei.</w:t>
      </w:r>
    </w:p>
    <w:p w14:paraId="371A6B22" w14:textId="621A9C94" w:rsidR="00EF761D" w:rsidRPr="000D1940" w:rsidRDefault="00EF761D" w:rsidP="00FF3ECE">
      <w:pPr>
        <w:rPr>
          <w:lang w:eastAsia="pt-BR"/>
        </w:rPr>
      </w:pPr>
      <w:r>
        <w:t>No entanto, a Graúna Transmissora de Energia S.A., por meio da Carta CE-STEP-TO-0006-V.1, solicitou ao IBAMA a análise quanto à possibilidade de delegação de competência, conforme a Instrução Normativa 8/2019, visto que o empreendimento está incluído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11.428/06), faz-se necessário adotar o procedimento ordinário de licenciamento ambiental, ou seja, elaborar o Estudo de Impacto Ambiental e o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r>
        <w:t>A solicitação de abertura de processo visando licenciar ou regularizar empreendimentos junto ao IMA deverá ser realizada exclusivamente através do endereço eletrônico dos Serviços On-line, pelo Software de Licenciamento Ambiental Web (SinFAT Web). O empreendedor deve cumprir cinco etapas, que são:</w:t>
      </w:r>
    </w:p>
    <w:p w14:paraId="435B4C6E" w14:textId="77777777" w:rsidR="00FF3ECE" w:rsidRPr="000D1940" w:rsidRDefault="00FF3ECE" w:rsidP="00FF3ECE">
      <w:pPr>
        <w:pStyle w:val="PargrafodaLista"/>
        <w:numPr>
          <w:ilvl w:val="0"/>
          <w:numId w:val="20"/>
        </w:numPr>
        <w:rPr>
          <w:lang w:eastAsia="pt-BR"/>
        </w:rPr>
      </w:pPr>
      <w:r w:rsidRPr="000D1940">
        <w:rPr>
          <w:lang w:eastAsia="pt-BR"/>
        </w:rP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de Formulário de Caracterização do Empreendimento Integrado (FCEI),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estão organizados em quadros, distinguindo a legislação pela esfera (federal ou estadual), pelo instrumento (número da legislação), pela data do instrumento e por uma breve explicação da legislação. Os tópicos estão separados conforme solicitado pelo Termo de Referência - TR nº.</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rsidRPr="0049732B">
              <w:rPr>
                <w:rFonts w:cstheme="minorHAnsi"/>
                <w:szCs w:val="18"/>
              </w:rP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t>Resolução CONAMA nº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rsidRPr="0049732B">
              <w:rPr>
                <w:rFonts w:cstheme="minorHAnsi"/>
                <w:szCs w:val="18"/>
              </w:rPr>
              <w:t>Resolução CONAMA n°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t>Define a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e revogando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t>Resolução CONAMA nº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t>Regulamenta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t>Instrução Normativa IMA nº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t>Dispõe sobre as infrações e sanções administrativas relacionadas ao meio ambiente, estabelece o processo administrativo federal para apuração dessas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t>Decreto nº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t>BRASIL. Conselho Nacional do Meio Ambiente (CONAMA). Resolução n° 60, de 29 de dezembro de 1989. Dispõe sobre... [adicionar título/resumo da resolução].</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rsidRPr="0049732B">
              <w:rPr>
                <w:rFonts w:cstheme="minorHAnsi"/>
                <w:szCs w:val="18"/>
              </w:rP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diretrizes sobre a emissão de autorizações para captura, coleta e transporte de material biológico destinado à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rsidRPr="0049732B">
              <w:rPr>
                <w:rFonts w:cstheme="minorHAnsi"/>
                <w:szCs w:val="18"/>
              </w:rPr>
              <w:t>Lei Complementar n</w:t>
            </w:r>
            <w:r w:rsidRPr="0049732B">
              <w:rPr>
                <w:rFonts w:cstheme="minorHAnsi"/>
                <w:szCs w:val="18"/>
                <w:u w:val="single"/>
                <w:vertAlign w:val="superscript"/>
              </w:rPr>
              <w:t>o</w:t>
            </w:r>
            <w:r w:rsidRPr="0049732B">
              <w:rPr>
                <w:rFonts w:cstheme="minorHAnsi"/>
                <w:szCs w:val="18"/>
              </w:rPr>
              <w:t xml:space="preserve">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para a cooperação entre a União, os Estados, o Distrito Federal e os Municípios nas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de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rsidRPr="0049732B">
              <w:rPr>
                <w:rFonts w:cstheme="minorHAnsi"/>
                <w:szCs w:val="18"/>
              </w:rPr>
              <w:t>Dispõe sobre as concessões de geração, transmissão e distribuição de energia elétrica, sobre a redução dos encargos setoriais e sobre a modicidade tarifária; altera as Leis nº 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nº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nº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rsidRPr="0049732B">
              <w:rPr>
                <w:rFonts w:cstheme="minorHAnsi"/>
                <w:szCs w:val="18"/>
              </w:rPr>
              <w:t>Unifica o licenciamento ambiental para as obras públicas de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rsidRPr="0049732B">
              <w:rPr>
                <w:rFonts w:cstheme="minorHAnsi"/>
                <w:szCs w:val="18"/>
              </w:rPr>
              <w:t>Dispõe sobre a criação do Instituto do Meio Ambiente do Estado de Santa Catarina (IMA) e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Estabelecer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t>Portaria Conjunta IMA/CPMA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pelo devido processo legal, através do qual serão apuradas as responsabilidades, com imposição das sanções, a defesa, o sistema recursal e a execução administrativa de multas.</w:t>
            </w:r>
          </w:p>
          <w:p w14:paraId="17E92830" w14:textId="0BFADD4A" w:rsidR="0030608D" w:rsidRPr="0049732B" w:rsidRDefault="00D03C1F" w:rsidP="00D03C1F">
            <w:pPr>
              <w:spacing w:before="0" w:after="0"/>
              <w:jc w:val="left"/>
              <w:rPr>
                <w:rFonts w:cstheme="minorHAnsi"/>
                <w:szCs w:val="18"/>
              </w:rPr>
            </w:pPr>
            <w:r>
              <w:t>no âmbito dos órgãos executores da Política Estadual de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t>2019 e atualiza o rol de ocupações, considerando os profissionais sob fiscalização do Conselho Federal dos Técnicos Agrícolas e do 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t>Institui a Orientação Técnica Normativa nº 01/2022-Dilic, que consolida o tratamento técnico e regulatório a ser dado ao tema de abertura de picadas e trilhas no âmbito dos processos de licenciamento ambiental federal, conforme 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rsidRPr="00DC70B6">
              <w:rPr>
                <w:rFonts w:cstheme="minorHAnsi"/>
                <w:szCs w:val="18"/>
              </w:rPr>
              <w:t>Parecer DNPM 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rPr>
                <w:rFonts w:cstheme="minorHAnsi"/>
                <w:szCs w:val="18"/>
              </w:rPr>
              <w:t xml:space="preserve">Alterada pela Lei: 17.987/2020; 18.639/2023 e Lei 19.061/2024. </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t>Prorroga o prazo de inscrição no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t>Decreto Federal nº 9.406/2018</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rsidRPr="00DC70B6">
              <w:rPr>
                <w:rFonts w:cstheme="minorHAnsi"/>
                <w:szCs w:val="18"/>
              </w:rPr>
              <w:t>Resolução Normativa da Aneel n</w:t>
            </w:r>
            <w:r w:rsidRPr="00DC70B6">
              <w:rPr>
                <w:rFonts w:cstheme="minorHAnsi"/>
                <w:szCs w:val="18"/>
                <w:u w:val="single"/>
                <w:vertAlign w:val="superscript"/>
              </w:rPr>
              <w:t>o</w:t>
            </w:r>
            <w:r w:rsidRPr="00DC70B6">
              <w:rPr>
                <w:rFonts w:cstheme="minorHAnsi"/>
                <w:szCs w:val="18"/>
              </w:rPr>
              <w:t xml:space="preserve"> </w:t>
            </w:r>
            <w:r>
              <w:rPr>
                <w:rFonts w:cstheme="minorHAnsi"/>
                <w:szCs w:val="18"/>
              </w:rPr>
              <w:t>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(DUP), de áreas de terra necessárias à implantação de instalações de geração e de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bookmarkStart w:id="56" w:name="_Toc187844994"/>
      <w:r>
        <w:t>Unidades de Conservação e outras áreas protegidas, e intervenções legalmente autorizadas</w:t>
      </w:r>
      <w:bookmarkEnd w:id="56"/>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a Floresta Nacional de Ibirama, no Estado de Santa Catarina, e dá outras providências </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t>Dispõe sobre o uso das cavidades subterrâneas, entre outros aspectos.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o art. 225, § 1o,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rsidRPr="00DC70B6">
              <w:rPr>
                <w:rFonts w:cstheme="minorHAnsi"/>
                <w:szCs w:val="18"/>
              </w:rPr>
              <w:t>Decreto Federal s/n°</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rsidRPr="00DC70B6">
              <w:rPr>
                <w:rFonts w:cstheme="minorHAnsi"/>
                <w:szCs w:val="18"/>
              </w:rP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t>Portaria MMA n.º 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t>Reconhece como prioritárias para a conservação, utilização sustentável e repartição de benefícios da biodiversidade brasileira, as áreas mencionadas.</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t>Dispõe sobre os procedimentos metodológicos para 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t>Instrução Normativa IMA nº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t>Instrução Normativa IMA n.º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rsidRPr="00DC70B6">
              <w:rPr>
                <w:rFonts w:cstheme="minorHAnsi"/>
                <w:szCs w:val="18"/>
              </w:rPr>
              <w:t>Portaria MMA n°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t>Aprova a viabilidade ambiental do 'Rodoanel Metropolitano Mário Covas – Trecho Norte'.</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anexa à presente Instrução Normativa, sendo estas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em licença obrigatória para o controle do transporte e armazenamento de produtos e subprodutos florestais de origem nativa, conforme alterado pelas Instruções Normativas do IBAMA nºs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da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procedimentos para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de vegetação nativa em área rural.</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Áreas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rsidRPr="00DC70B6">
              <w:rPr>
                <w:rFonts w:cstheme="minorHAnsi"/>
                <w:sz w:val="20"/>
              </w:rP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rsidRPr="0098032E">
              <w:rPr>
                <w:rFonts w:cstheme="minorHAnsi"/>
                <w:sz w:val="20"/>
              </w:rPr>
              <w:t>Estabelece os procedimentos para fins de cumprimento</w:t>
            </w:r>
            <w:r>
              <w:rPr>
                <w:rFonts w:cstheme="minorHAnsi"/>
                <w:sz w:val="20"/>
              </w:rPr>
              <w:t xml:space="preserve"> </w:t>
            </w:r>
            <w:r w:rsidRPr="0098032E">
              <w:rPr>
                <w:rFonts w:cstheme="minorHAnsi"/>
                <w:sz w:val="20"/>
              </w:rPr>
              <w:t>do compromisso de compensação ambiental decorrente</w:t>
            </w:r>
            <w:r>
              <w:rPr>
                <w:rFonts w:cstheme="minorHAnsi"/>
                <w:sz w:val="20"/>
              </w:rPr>
              <w:t xml:space="preserve"> </w:t>
            </w:r>
            <w:r w:rsidRPr="0098032E">
              <w:rPr>
                <w:rFonts w:cstheme="minorHAnsi"/>
                <w:sz w:val="20"/>
              </w:rPr>
              <w:t>do licenciamento ambiental de significativo impacto</w:t>
            </w:r>
            <w:r>
              <w:rPr>
                <w:rFonts w:cstheme="minorHAnsi"/>
                <w:sz w:val="20"/>
              </w:rPr>
              <w:t xml:space="preserve"> </w:t>
            </w:r>
            <w:r w:rsidRPr="0098032E">
              <w:rPr>
                <w:rFonts w:cstheme="minorHAnsi"/>
                <w:sz w:val="20"/>
              </w:rPr>
              <w:t>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t>Institui a Divisão Hidrográfica Nacional (DHN).</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t>obtenção da outorga de direito de uso dos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os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t>Dispõe sobre os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rsidRPr="004C1A0A">
              <w:rPr>
                <w:rFonts w:cstheme="minorHAnsi"/>
                <w:szCs w:val="18"/>
              </w:rPr>
              <w:t>atmosféricos para fontes fixas instaladas ou com pedido</w:t>
            </w:r>
          </w:p>
          <w:p w14:paraId="3FCC8BCB" w14:textId="77777777" w:rsidR="00E36352" w:rsidRPr="004C1A0A" w:rsidRDefault="00E36352" w:rsidP="00E36352">
            <w:pPr>
              <w:spacing w:before="0" w:after="0"/>
              <w:jc w:val="left"/>
              <w:rPr>
                <w:rFonts w:cstheme="minorHAnsi"/>
                <w:szCs w:val="18"/>
              </w:rPr>
            </w:pPr>
            <w:r w:rsidRPr="004C1A0A">
              <w:rPr>
                <w:rFonts w:cstheme="minorHAnsi"/>
                <w:szCs w:val="18"/>
              </w:rPr>
              <w:t>de licença de instalação anteriores a 02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rsidRPr="00DC70B6">
              <w:rPr>
                <w:rFonts w:cstheme="minorHAnsi"/>
                <w:szCs w:val="18"/>
              </w:rPr>
              <w:t>Fixa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Estabelece os níveis de ruído compatíveis com o conforto acústico em diversos ambientes.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r>
        <w:t>Quadro 5.1-9: Legislação sobre poluição do solo e efluentes líquidos aplicável ao empreendimento.</w:t>
      </w:r>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das pessoas físicas ou jurídicas no Cadastro Técnico Federal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das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rsidRPr="00F34211">
              <w:rPr>
                <w:rFonts w:cstheme="minorHAnsi"/>
                <w:szCs w:val="18"/>
              </w:rPr>
              <w:t>Resolução CONAMA nº448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rsidRPr="00F34211">
              <w:rPr>
                <w:rFonts w:cstheme="minorHAnsi"/>
                <w:szCs w:val="18"/>
              </w:rP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no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t>Define referências técnicas, princípios fundamentais e medidas de proteção para garantir a saúde e a integridade física dos trabalhadores, estabelecendo requisitos mínimos para a prevenção de acidentes e doenças do trabalho nas fases de projeto 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t>Define as disposições gerais sobre segurança e saúde no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rPr>
                <w:rFonts w:cstheme="minorHAnsi"/>
                <w:szCs w:val="18"/>
              </w:rPr>
              <w:t>Portaria SEP</w:t>
            </w:r>
            <w:r w:rsidR="00611F0D">
              <w:rPr>
                <w:rFonts w:cstheme="minorHAnsi"/>
                <w:szCs w:val="18"/>
              </w:rPr>
              <w:t>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NR-02 e aprovando a nova redação da NR-01.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t>Dispõe sobre a obrigatoriedade e implementação do Programa de Controle Médico de Saúde Ocupacional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t>Dispõe sobre a emissão do Laudo de Avaliação do Potencial Malarígeno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administrativos para identificação, reconhecimento, delimitação, demarcação, desintrusão e titulação.</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t>Portaria Interministerial 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que disciplinam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t>Instrução Normativa INCRA n°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os procedimentos para anuência do uso de áreas em projetos de assentamento do Incra para atividades ou empreendimentos minerários, de</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rsidRPr="000771A9">
              <w:rPr>
                <w:rFonts w:cstheme="minorHAnsi"/>
                <w:szCs w:val="18"/>
              </w:rPr>
              <w:t>Decreto 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t>Revoga as instruções contidas no Memorando Circular 002/2008, de 16 de maio de 2008, que dispõem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rsidRPr="000771A9">
              <w:rPr>
                <w:rFonts w:cstheme="minorHAnsi"/>
                <w:szCs w:val="18"/>
              </w:rP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45 de 2006 – Institui o Plano Diretor de Desenvolvimento Municipal de Curitibanos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161F52">
              <w:rPr>
                <w:rFonts w:cstheme="minorHAnsi"/>
                <w:szCs w:val="18"/>
              </w:rPr>
              <w:t xml:space="preserve">68 </w:t>
            </w:r>
            <w:r w:rsidRPr="0045598C">
              <w:rPr>
                <w:rFonts w:cstheme="minorHAnsi"/>
                <w:szCs w:val="18"/>
              </w:rPr>
              <w:t xml:space="preserve">de </w:t>
            </w:r>
            <w:r w:rsidR="00161F52">
              <w:rPr>
                <w:rFonts w:cstheme="minorHAnsi"/>
                <w:szCs w:val="18"/>
              </w:rPr>
              <w:t>25</w:t>
            </w:r>
            <w:r w:rsidRPr="0045598C">
              <w:rPr>
                <w:rFonts w:cstheme="minorHAnsi"/>
                <w:szCs w:val="18"/>
              </w:rPr>
              <w:t>/</w:t>
            </w:r>
            <w:r w:rsidR="00161F52">
              <w:rPr>
                <w:rFonts w:cstheme="minorHAnsi"/>
                <w:szCs w:val="18"/>
              </w:rPr>
              <w:t>11</w:t>
            </w:r>
            <w:r w:rsidRPr="0045598C">
              <w:rPr>
                <w:rFonts w:cstheme="minorHAnsi"/>
                <w:szCs w:val="18"/>
              </w:rPr>
              <w:t>/20</w:t>
            </w:r>
            <w:r w:rsidR="00161F52">
              <w:rPr>
                <w:rFonts w:cstheme="minorHAnsi"/>
                <w:szCs w:val="18"/>
              </w:rPr>
              <w:t>10</w:t>
            </w:r>
            <w:r w:rsidRPr="0045598C">
              <w:rPr>
                <w:rFonts w:cstheme="minorHAnsi"/>
                <w:szCs w:val="18"/>
              </w:rPr>
              <w:t xml:space="preserve"> – </w:t>
            </w:r>
            <w:r w:rsidR="00161F52">
              <w:rPr>
                <w:rFonts w:cstheme="minorHAnsi"/>
                <w:szCs w:val="18"/>
              </w:rPr>
              <w:t>Institui o Plano Diretor</w:t>
            </w:r>
            <w:r w:rsidR="0043469A">
              <w:rPr>
                <w:rFonts w:cstheme="minorHAnsi"/>
                <w:szCs w:val="18"/>
              </w:rPr>
              <w:t xml:space="preserve"> de desenvolvimento municipal, dispõe sobre as normas, fixa objetivos e diretrizes urbanísticas </w:t>
            </w:r>
            <w:r w:rsidR="003D3E27">
              <w:rPr>
                <w:rFonts w:cstheme="minorHAnsi"/>
                <w:szCs w:val="18"/>
              </w:rPr>
              <w:t xml:space="preserve">do município de Lebon Régis e dá outras providências. </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Vargem, de 12 de dezembro de 1995.</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EC3562">
              <w:rPr>
                <w:rFonts w:cstheme="minorHAnsi"/>
                <w:szCs w:val="18"/>
              </w:rPr>
              <w:t>11</w:t>
            </w:r>
            <w:r w:rsidRPr="0045598C">
              <w:rPr>
                <w:rFonts w:cstheme="minorHAnsi"/>
                <w:szCs w:val="18"/>
              </w:rPr>
              <w:t xml:space="preserve"> de </w:t>
            </w:r>
            <w:r w:rsidR="009B76F8">
              <w:rPr>
                <w:rFonts w:cstheme="minorHAnsi"/>
                <w:szCs w:val="18"/>
              </w:rPr>
              <w:t>27/11/</w:t>
            </w:r>
            <w:r w:rsidR="007F5387">
              <w:rPr>
                <w:rFonts w:cstheme="minorHAnsi"/>
                <w:szCs w:val="18"/>
              </w:rPr>
              <w:t xml:space="preserve">2003 </w:t>
            </w:r>
            <w:r w:rsidR="007F5387" w:rsidRPr="0045598C">
              <w:rPr>
                <w:rFonts w:cstheme="minorHAnsi"/>
                <w:szCs w:val="18"/>
              </w:rPr>
              <w:t>–</w:t>
            </w:r>
            <w:r w:rsidRPr="0045598C">
              <w:rPr>
                <w:rFonts w:cstheme="minorHAnsi"/>
                <w:szCs w:val="18"/>
              </w:rPr>
              <w:t xml:space="preserve"> Institui o Plano Diretor </w:t>
            </w:r>
            <w:r w:rsidR="009B76F8">
              <w:rPr>
                <w:rFonts w:cstheme="minorHAnsi"/>
                <w:szCs w:val="18"/>
              </w:rPr>
              <w:t>Físico Territorial, dispõe sobre as normas, fixa obje</w:t>
            </w:r>
            <w:r w:rsidR="007F5387">
              <w:rPr>
                <w:rFonts w:cstheme="minorHAnsi"/>
                <w:szCs w:val="18"/>
              </w:rPr>
              <w:t xml:space="preserve">tivos e diretrizes urbanísticas de vargem e dá outras providências. </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normativas técnicas pertinentes em níveis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t>Decreto nº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t>Regulamenta o Capítulo III do Título IV do Código Brasileiro do Ar (Zonas de Proteção de Aeródromos, Helipontos 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t>Dispõe sobre a ocupação de faixas de domínio de rodovias, terrenos de domínio público e travessias de hidrovias, rodovias e ferrovias, por linhas de transmissão, subtransmissão e distribuição de energia elétrica, além de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 e extra alta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t>Fixa as condições exigíveis para cordoalhas de sete fios de aço zincado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t>Estabelece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Estabelece as condições exigíveis para os procedimentos básicos na abertura de poços e trincheiras, bem como os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inferior a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concessionários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t>Estabelece as condições exigíveis para o projeto, construção e operação de sistemas de tanques sépticos, incluindo 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outorga e prorrogações das concessões e permissões de serviços públicos. Altera a Lei nº 8.987/95, modificada pelas Leis nº 9.648/98 e nº 10.848/04. Regulamentada, em parte, pelo Decreto nº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t>Define os termos relativos aos materiais da crosta terrestre, como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rsidRPr="00DF7244">
              <w:rPr>
                <w:rFonts w:cstheme="minorHAnsi"/>
                <w:szCs w:val="18"/>
              </w:rP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nº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t>Altera o Decreto nº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9.074/95 e nº 9.427/96, autorizando o Poder Executivo a promover a reestruturação das Centrais Elétricas Brasileiras - ELETROBRÁS e de suas subsidiárias. Alterada pelas Leis nº 10.438/02, nº 10.848/04 e nº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gerais de contratação do acesso, compreendido o uso e a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cujas finalidades são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o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t>Dispõe sobre a comercialização de energia elétrica. Altera as Leis nº 9.074/95, nº 9.427/96, nº 9.648/98 e nº 10.438/02. Alterada pela Lei nº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rsidRPr="00DF7244">
              <w:rPr>
                <w:rFonts w:cstheme="minorHAnsi"/>
                <w:szCs w:val="18"/>
              </w:rPr>
              <w:t>Regulamenta a comercialização de energia elétrica,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t>Fixa os critérios mínimos para sinalização de linhas aéreas de transmissão de energia elétrica (LT), visando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a prorrogação das concessões de uso do bem público dos empreendimentos de geração de energia elétrica de que trata o art. 17 da Lei 10.848/04. Altera o Decreto 5.163/04. Alterado pelo Decreto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Estabelece os requisitos exigíveis para a verificação da segurança das estruturas usuais da construção civil em relação às ações sísmicas, bem como os critérios de quantificação dessas ações e das resistências a serem consideradas no projeto das estruturas de edificações, independentemente da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a transferência de tecnologia, assistência técnica e prestação de serviços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rsidRPr="00DF7244">
              <w:rPr>
                <w:rFonts w:cstheme="minorHAnsi"/>
                <w:szCs w:val="18"/>
              </w:rPr>
              <w:t>Resolução ANEEL n°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de Sistemas e Transmissão (CUST) e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rsidRPr="00DF7244">
              <w:rPr>
                <w:rFonts w:cstheme="minorHAnsi"/>
                <w:szCs w:val="18"/>
              </w:rPr>
              <w:t xml:space="preserve">Altera os </w:t>
            </w:r>
            <w:proofErr w:type="spellStart"/>
            <w:r w:rsidRPr="00DF7244">
              <w:rPr>
                <w:rFonts w:cstheme="minorHAnsi"/>
                <w:szCs w:val="18"/>
              </w:rPr>
              <w:t>Arts</w:t>
            </w:r>
            <w:proofErr w:type="spellEnd"/>
            <w:r w:rsidRPr="00DF7244">
              <w:rPr>
                <w:rFonts w:cstheme="minorHAnsi"/>
                <w:szCs w:val="18"/>
              </w:rPr>
              <w:t>. 11, 19, 27, 34 e 36 do Decreto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5.163/2004,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detalhes sobre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nº 10.848/2004, altera o art. 44 do Decreto nº 5.163/2004 e o art. 2º do Decreto nº 5.177/2004.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Fixa as condições exigíveis para a fabricação, qualificação, aceitação e/ou recebimento de cabos de alumínio nus (CA) utilizados em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de Operação do Operador Nacional do Sistema Elétrico (NOS)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t>Estabelece os requisitos a serem observados no projeto e na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t>Dá nova redação aos Arts. 3º, 18, 24 e 27 do Decreto nº 5.163, de 30 de julho de 2004, que regulamenta a comercialização de energia elétrica, o processo de outorga de concessões e de autorizações de geração de energia elétrica, e dá outras providências.</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t>Acrescenta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t>Este documento 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t>Dá nova redação aos arts. 24, 36 e 40 do Decreto n.º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279/2007.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t>Define termos relacionados a isoladores para sistemas de potência, não sendo necessariamente aplicável a isoladores destinados a outros fins.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de iluminação para locais de trabalho internos e os requisitos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excluídas aquelas em que se empregam concreto leve, pesado ou outros tipos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sejam eles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t>Especifica o método para a determinação do limite de plasticidade e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