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rPr>
          <w:rFonts w:asciiTheme="majorHAnsi" w:eastAsiaTheme="minorEastAsia" w:hAnsiTheme="majorHAnsi" w:cstheme="majorHAnsi"/>
          <w:caps w:val="0"/>
        </w:rPr>
        <w:fldChar w:fldCharType="begin"/>
      </w:r>
      <w:r>
        <w:rPr>
          <w:rFonts w:asciiTheme="majorHAnsi" w:eastAsiaTheme="minorEastAsia" w:hAnsiTheme="majorHAnsi" w:cstheme="majorHAnsi"/>
          <w:caps w:val="0"/>
        </w:rPr>
        <w:instrText xml:space="preserve"> TOC \o "1-3" \h \z \u </w:instrText>
      </w:r>
      <w:r>
        <w:rPr>
          <w:rFonts w:asciiTheme="majorHAnsi" w:eastAsiaTheme="minorEastAsia" w:hAnsiTheme="majorHAnsi" w:cstheme="majorHAnsi"/>
          <w:caps w:val="0"/>
        </w:rPr>
        <w:fldChar w:fldCharType="separate"/>
      </w:r>
      <w:hyperlink w:anchor="_Toc187844990" w:history="1">
        <w:r w:rsidR="00C34971" w:rsidRPr="009F129C">
          <w:rPr>
            <w:rStyle w:val="Hyperlink"/>
            <w:noProof/>
          </w:rPr>
          <w:t>5</w:t>
        </w:r>
        <w:r w:rsidR="00C34971">
          <w:rPr>
            <w:rFonts w:asciiTheme="minorHAnsi" w:eastAsiaTheme="minorEastAsia" w:hAnsiTheme="minorHAnsi" w:cstheme="minorBidi"/>
            <w:b w:val="0"/>
            <w:bCs w:val="0"/>
            <w:caps w:val="0"/>
            <w:noProof/>
            <w:kern w:val="2"/>
            <w:sz w:val="24"/>
            <w:szCs w:val="24"/>
            <w:lang w:eastAsia="pt-BR"/>
            <w14:ligatures w14:val="standardContextual"/>
          </w:rPr>
          <w:tab/>
        </w:r>
        <w:r w:rsidR="00C34971" w:rsidRPr="009F129C">
          <w:rPr>
            <w:rStyle w:val="Hyperlink"/>
            <w:noProof/>
          </w:rPr>
          <w:t>LEGISLAÇÃO PERTINENTE</w:t>
        </w:r>
        <w:r w:rsidR="00C34971">
          <w:rPr>
            <w:noProof/>
            <w:webHidden/>
          </w:rPr>
          <w:tab/>
        </w:r>
        <w:r w:rsidR="00C34971">
          <w:rPr>
            <w:noProof/>
            <w:webHidden/>
          </w:rPr>
          <w:fldChar w:fldCharType="begin"/>
        </w:r>
        <w:r w:rsidR="00C34971">
          <w:rPr>
            <w:noProof/>
            <w:webHidden/>
          </w:rPr>
          <w:instrText xml:space="preserve"> PAGEREF _Toc187844990 \h </w:instrText>
        </w:r>
        <w:r w:rsidR="00C34971">
          <w:rPr>
            <w:noProof/>
            <w:webHidden/>
          </w:rPr>
        </w:r>
        <w:r w:rsidR="00C34971">
          <w:rPr>
            <w:noProof/>
            <w:webHidden/>
          </w:rPr>
          <w:fldChar w:fldCharType="separate"/>
        </w:r>
        <w:r w:rsidR="00C34971">
          <w:rPr>
            <w:noProof/>
            <w:webHidden/>
          </w:rPr>
          <w:t>4</w:t>
        </w:r>
        <w:r w:rsidR="00C34971">
          <w:rPr>
            <w:noProof/>
            <w:webHidden/>
          </w:rPr>
          <w:fldChar w:fldCharType="end"/>
        </w:r>
      </w:hyperlink>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4991" w:history="1">
        <w:r w:rsidRPr="009F129C">
          <w:rPr>
            <w:rStyle w:val="Hyperlink"/>
          </w:rPr>
          <w:t>5.1</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Ambiental Aplicável ao Empreendimento</w:t>
        </w:r>
        <w:r>
          <w:rPr>
            <w:webHidden/>
          </w:rPr>
          <w:tab/>
        </w:r>
        <w:r>
          <w:rPr>
            <w:webHidden/>
          </w:rPr>
          <w:fldChar w:fldCharType="begin"/>
        </w:r>
        <w:r>
          <w:rPr>
            <w:webHidden/>
          </w:rPr>
          <w:instrText xml:space="preserve"> PAGEREF _Toc187844991 \h </w:instrText>
        </w:r>
        <w:r>
          <w:rPr>
            <w:webHidden/>
          </w:rPr>
        </w:r>
        <w:r>
          <w:rPr>
            <w:webHidden/>
          </w:rPr>
          <w:fldChar w:fldCharType="separate"/>
        </w:r>
        <w:r>
          <w:rPr>
            <w:webHidden/>
          </w:rPr>
          <w:t>6</w:t>
        </w:r>
        <w:r>
          <w:rPr>
            <w:webHidden/>
          </w:rPr>
          <w:fldChar w:fldCharType="end"/>
        </w:r>
      </w:hyperlink>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3" w:history="1">
        <w:r w:rsidRPr="009F129C">
          <w:rPr>
            <w:rStyle w:val="Hyperlink"/>
            <w:noProof/>
          </w:rPr>
          <w:t>5.1.2</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Uso e ocupação do solo</w:t>
        </w:r>
        <w:r>
          <w:rPr>
            <w:noProof/>
            <w:webHidden/>
          </w:rPr>
          <w:tab/>
        </w:r>
        <w:r>
          <w:rPr>
            <w:noProof/>
            <w:webHidden/>
          </w:rPr>
          <w:fldChar w:fldCharType="begin"/>
        </w:r>
        <w:r>
          <w:rPr>
            <w:noProof/>
            <w:webHidden/>
          </w:rPr>
          <w:instrText xml:space="preserve"> PAGEREF _Toc187844993 \h </w:instrText>
        </w:r>
        <w:r>
          <w:rPr>
            <w:noProof/>
            <w:webHidden/>
          </w:rPr>
        </w:r>
        <w:r>
          <w:rPr>
            <w:noProof/>
            <w:webHidden/>
          </w:rPr>
          <w:fldChar w:fldCharType="separate"/>
        </w:r>
        <w:r>
          <w:rPr>
            <w:noProof/>
            <w:webHidden/>
          </w:rPr>
          <w:t>9</w:t>
        </w:r>
        <w:r>
          <w:rPr>
            <w:noProof/>
            <w:webHidden/>
          </w:rPr>
          <w:fldChar w:fldCharType="end"/>
        </w:r>
      </w:hyperlink>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5.1.3 Unidades de Conservação e outras áreas protegidas e intervenções legalmente autorizadas 10</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7" w:history="1">
        <w:r w:rsidRPr="009F129C">
          <w:rPr>
            <w:rStyle w:val="Hyperlink"/>
            <w:noProof/>
          </w:rPr>
          <w:t>5.1.6</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Recursos hídricos superficiais e subterrâneos</w:t>
        </w:r>
        <w:r>
          <w:rPr>
            <w:noProof/>
            <w:webHidden/>
          </w:rPr>
          <w:tab/>
        </w:r>
        <w:r>
          <w:rPr>
            <w:noProof/>
            <w:webHidden/>
          </w:rPr>
          <w:fldChar w:fldCharType="begin"/>
        </w:r>
        <w:r>
          <w:rPr>
            <w:noProof/>
            <w:webHidden/>
          </w:rPr>
          <w:instrText xml:space="preserve"> PAGEREF _Toc187844997 \h </w:instrText>
        </w:r>
        <w:r>
          <w:rPr>
            <w:noProof/>
            <w:webHidden/>
          </w:rPr>
        </w:r>
        <w:r>
          <w:rPr>
            <w:noProof/>
            <w:webHidden/>
          </w:rPr>
          <w:fldChar w:fldCharType="separate"/>
        </w:r>
        <w:r>
          <w:rPr>
            <w:noProof/>
            <w:webHidden/>
          </w:rPr>
          <w:t>14</w:t>
        </w:r>
        <w:r>
          <w:rPr>
            <w:noProof/>
            <w:webHidden/>
          </w:rPr>
          <w:fldChar w:fldCharType="end"/>
        </w:r>
      </w:hyperlink>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5.1.7 Emissões Atmosféricas</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5.1.12 Comunidades indígenas, quilombolas, pesqueiras e outras tradicionais.</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5.1.13 Patrimônio Cultural, Artístico, Histórico e Arqueológico</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5.1.14 Legislação Municipal</w:t>
      </w:r>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r>
        <w:t>Este capítulo apresenta uma descrição da legislação ambiental e técnica aplicável ao projeto de licenciamento da LT 525 kV Abdon Batista 2 – Curitiba Oeste e Subestação Curitiba Oeste. A análise tem como finalidade subsidiar o órgão ambiental competente no processo de licenciamento ambiental e auxiliar o empreendedor em suas decisões, por meio de um referencial básico que ajude na compreensão do meio ambiente e dos objetivos deste EIA, bem como dos aspectos jurídicos relacionados à construção e operação do empreendimento.</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rsidRPr="000D1940">
        <w:rPr>
          <w:lang w:eastAsia="pt-BR"/>
        </w:rP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rPr>
          <w:rStyle w:val="normaltextrun"/>
          <w:rFonts w:cs="Calibri"/>
        </w:rPr>
        <w:t xml:space="preserve">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w:t>
      </w:r>
      <w:r>
        <w:rPr>
          <w:rStyle w:val="normaltextrun"/>
          <w:rFonts w:cs="Calibri"/>
          <w:color w:val="222222"/>
          <w:shd w:val="clear" w:color="auto" w:fill="FFFFFF"/>
        </w:rPr>
        <w:t>do Meio Ambiente e dos Recursos Naturais Renováveis (IBAMA)</w:t>
      </w:r>
      <w:r>
        <w:rPr>
          <w:rStyle w:val="normaltextrun"/>
          <w:rFonts w:cs="Calibri"/>
        </w:rPr>
        <w:t>, como partes integrantes do Sistema Nacional de Meio Ambiente (SISNAMA).</w:t>
      </w:r>
      <w:r>
        <w:rPr>
          <w:rStyle w:val="eop"/>
          <w:rFonts w:cs="Calibri"/>
        </w:rPr>
        <w:t> </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forem caracterizadas situações que comprometam a continuidade e a segurança do suprimento eletroenergético, reconhecidas pelo Comitê de Monitoramento do Setor Elétrico – CMSE, ou a necessidade de sistemas de transmissão de energia elétrica associados a empreendimentos estratégicos, indicada pelo Conselho Nacional de Política Energética – CNPE.</w:t>
      </w:r>
    </w:p>
    <w:p w14:paraId="063D0802" w14:textId="4120F6F7" w:rsidR="00FF3ECE" w:rsidRDefault="00FF3ECE" w:rsidP="00FF3ECE">
      <w:pPr>
        <w:rPr>
          <w:lang w:eastAsia="pt-BR"/>
        </w:rPr>
      </w:pPr>
      <w:r w:rsidRPr="000D1940">
        <w:rPr>
          <w:lang w:eastAsia="pt-BR"/>
        </w:rPr>
        <w:t xml:space="preserve">A </w:t>
      </w:r>
      <w:r w:rsidR="009761C0">
        <w:rPr>
          <w:lang w:eastAsia="pt-BR"/>
        </w:rPr>
        <w:t xml:space="preserve">Lei Complementar </w:t>
      </w:r>
      <w:r w:rsidR="006C5296">
        <w:rPr>
          <w:lang w:eastAsia="pt-BR"/>
        </w:rPr>
        <w:t>nº 140, de 8 de dezembro de 2011</w:t>
      </w:r>
      <w:r w:rsidRPr="000D1940">
        <w:rPr>
          <w:lang w:eastAsia="pt-BR"/>
        </w:rPr>
        <w:t xml:space="preserve"> indica a esfera de licenciamento (federal, estadual e municipal) a depender da localização do empreendimento. </w:t>
      </w:r>
      <w:r w:rsidR="006545BB" w:rsidRPr="000D1940">
        <w:rPr>
          <w:lang w:eastAsia="pt-BR"/>
        </w:rPr>
        <w:t xml:space="preserve">A competência do licenciamento ambiental da </w:t>
      </w:r>
      <w:r w:rsidR="006545BB" w:rsidRPr="000D1940">
        <w:t xml:space="preserve">LT 525 kV </w:t>
      </w:r>
      <w:r w:rsidR="006545BB">
        <w:t xml:space="preserve">Abdon Batista 2 – Curitiba Oeste e Subestação Curitiba Oeste, inicialmente se enquadra como de competência federal, visto que o empreendimento é localizado em dois ou mais Estados, conforme Art. </w:t>
      </w:r>
      <w:r w:rsidR="00FA1D87">
        <w:t>7</w:t>
      </w:r>
      <w:r w:rsidR="006545BB">
        <w:t>º</w:t>
      </w:r>
      <w:r w:rsidR="00133BE0">
        <w:t xml:space="preserve"> da referida Lei. </w:t>
      </w:r>
      <w:r w:rsidR="0038236F">
        <w:rPr>
          <w:lang w:eastAsia="pt-BR"/>
        </w:rPr>
        <w:t xml:space="preserve"> </w:t>
      </w:r>
    </w:p>
    <w:p w14:paraId="371A6B22" w14:textId="621A9C94" w:rsidR="00EF761D" w:rsidRPr="000D1940" w:rsidRDefault="00EF761D" w:rsidP="00FF3ECE">
      <w:pPr>
        <w:rPr>
          <w:lang w:eastAsia="pt-BR"/>
        </w:rPr>
      </w:pPr>
      <w:r>
        <w:t>No entanto, a Graúna Transmissora de Energia S.A., por meio da Carta CE-STEP-TO-0006-V.1, solicitou ao IBAMA a análise da possibilidade de delegação de competência, à luz da Instrução Normativa 8/2019, visto que o empreendimento está localizado principalmente no estado de Santa Catarina. Nesse contexto, o IBAMA delegou ao IMA/SC em XXXXX, por meio do Ofício XXXX,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 11.428/2006), faz-se necessário adotar o procedimento ordinário de licenciamento ambiental, ou seja, elaborar o Estudo de Impacto Ambiental e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r>
        <w:t>A solicitação de abertura de processo com o objetivo de licenciar ou regularizar empreendimento junto ao IMA deverá ser feita, exclusivamente, por meio do endereço eletrônico dos Serviços On-line Software de Licenciamento Ambiental Web (SinFAT Web). O empreendedor deve cumprir cinco etapas, sendo estas:</w:t>
      </w:r>
    </w:p>
    <w:p w14:paraId="435B4C6E" w14:textId="77777777" w:rsidR="00FF3ECE" w:rsidRPr="000D1940" w:rsidRDefault="00FF3ECE" w:rsidP="00FF3ECE">
      <w:pPr>
        <w:pStyle w:val="PargrafodaLista"/>
        <w:numPr>
          <w:ilvl w:val="0"/>
          <w:numId w:val="20"/>
        </w:numPr>
        <w:rPr>
          <w:lang w:eastAsia="pt-BR"/>
        </w:rPr>
      </w:pPr>
      <w: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rsidRPr="000D1940">
        <w:rPr>
          <w:lang w:eastAsia="pt-BR"/>
        </w:rPr>
        <w:t xml:space="preserve">A abertura do número do processo de licenciamento no IMA só ocorre após as cinco etapas iniciais e a entrega do EIA juntamente com as certidões de conformidade de uso e ocupação do solo de cada prefeitura municipal que o empreendimento intercepta. </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organizados em quadros, separando a legislação por esfera (federal ou estadual), instrumento (número da legislação), data do instrumento e uma breve explicação da legislação. Os tópicos estão organizados conforme o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t>Resolução CONAMA nº 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rsidRPr="0049732B">
              <w:rPr>
                <w:rFonts w:cstheme="minorHAnsi"/>
                <w:szCs w:val="18"/>
              </w:rP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t>Define vegetação primária e secundária nos estágios inicial, médio e avançado de regeneração da Mata Atlântica, com o objetivo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 a Resolução CONAMA nº 1/86 e revoga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t>Altera a Lei n.º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t>Regulamenta os estudos e procedimentos necessários para a obtenção de licença prévia (LP), de instalação (LI) e de operação (LO) durante 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rsidRPr="0049732B">
              <w:rPr>
                <w:rFonts w:asciiTheme="minorHAnsi" w:hAnsiTheme="minorHAnsi" w:cstheme="minorHAnsi"/>
                <w:sz w:val="18"/>
                <w:szCs w:val="18"/>
              </w:rPr>
              <w:t>Altera e acrescenta dispositivos ao Decreto n</w:t>
            </w:r>
            <w:r w:rsidRPr="0049732B">
              <w:rPr>
                <w:rFonts w:asciiTheme="minorHAnsi" w:hAnsiTheme="minorHAnsi" w:cstheme="minorHAnsi"/>
                <w:sz w:val="18"/>
                <w:szCs w:val="18"/>
                <w:u w:val="single"/>
                <w:vertAlign w:val="superscript"/>
              </w:rPr>
              <w:t>o</w:t>
            </w:r>
            <w:r w:rsidRPr="0049732B">
              <w:rPr>
                <w:rFonts w:asciiTheme="minorHAnsi" w:hAnsiTheme="minorHAnsi" w:cstheme="minorHAnsi"/>
                <w:sz w:val="18"/>
                <w:szCs w:val="18"/>
              </w:rPr>
              <w:t xml:space="preserve">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rsidRPr="0049732B">
              <w:rPr>
                <w:rFonts w:cstheme="minorHAnsi"/>
                <w:szCs w:val="18"/>
              </w:rPr>
              <w:t>Estabelece sobre a emissão de autorizações de captura, coleta e transporte de material biológico para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de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rsidRPr="0049732B">
              <w:rPr>
                <w:rFonts w:cstheme="minorHAnsi"/>
                <w:szCs w:val="18"/>
              </w:rPr>
              <w:t>Instrução Normativa IBAMA n</w:t>
            </w:r>
            <w:r w:rsidRPr="0049732B">
              <w:rPr>
                <w:rFonts w:cstheme="minorHAnsi"/>
                <w:szCs w:val="18"/>
                <w:u w:val="single"/>
                <w:vertAlign w:val="superscript"/>
              </w:rPr>
              <w:t>o</w:t>
            </w:r>
            <w:r w:rsidRPr="0049732B">
              <w:rPr>
                <w:rFonts w:cstheme="minorHAnsi"/>
                <w:szCs w:val="18"/>
              </w:rPr>
              <w:t xml:space="preserve">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nº 12.111, de 9 de dezembro de 2009, nº 9.648, de 27 de maio de 1998, nº 9.427, de 26 de dezembro de 1996, e nº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rsidRPr="0049732B">
              <w:rPr>
                <w:rFonts w:cstheme="minorHAnsi"/>
                <w:szCs w:val="18"/>
              </w:rP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das obras públicas de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Estabelece-se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t>Disciplina o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t>Estabelece os procedimentos para a apuração de infrações administrativas ambientais por condutas e atividades lesivas ao meio ambiente, instrumentalizados mediante o devido processo legal, por meio do qual serão apuradas as responsabilidades por infrações ambientais, com a imposição de sanções, a defesa, o sistema 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rsidRPr="0049732B">
              <w:rPr>
                <w:rFonts w:cstheme="minorHAnsi"/>
                <w:szCs w:val="18"/>
              </w:rP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t>Atividades sujeitas ao Cadastro Ambiental</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adotando outras providências.</w:t>
            </w:r>
          </w:p>
          <w:p w14:paraId="50D2AFE7" w14:textId="77777777" w:rsidR="00787F20" w:rsidRDefault="00787F20" w:rsidP="008A22C0">
            <w:pPr>
              <w:spacing w:before="0" w:after="0"/>
              <w:jc w:val="left"/>
              <w:rPr>
                <w:rFonts w:cstheme="minorHAnsi"/>
                <w:szCs w:val="18"/>
              </w:rPr>
            </w:pPr>
            <w:r>
              <w:rPr>
                <w:rFonts w:cstheme="minorHAnsi"/>
                <w:szCs w:val="18"/>
              </w:rPr>
              <w:t xml:space="preserve">Alterada pela Lei: 17.987/2020; 18.639/2023 e Lei 19.061/2024. </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t>Decreto Federal nº 9.406/2018</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outubro/2016.</w:t>
            </w:r>
          </w:p>
        </w:tc>
      </w:tr>
    </w:tbl>
    <w:p w14:paraId="0F8E13A4" w14:textId="2F64BC3D" w:rsidR="00FF3ECE" w:rsidRDefault="00E804F3" w:rsidP="00DC70B6">
      <w:pPr>
        <w:pStyle w:val="Ttulo3"/>
      </w:pPr>
      <w:r>
        <w:t>Unidades de Conservação e outras áreas protegidas 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sem número</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nº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rsidRPr="00DC70B6">
              <w:rPr>
                <w:rFonts w:cstheme="minorHAnsi"/>
                <w:szCs w:val="18"/>
              </w:rPr>
              <w:t>Instrução Normativa IMA n°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t>Define-se a documentação necessária para a emissão de autorização para a supressão de vegetação nativa em área urbana.</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t>Áreas Prioritárias para a Conservação, Utilização Sustentável e Repartição de Benefícios da Biodiversidade Brasileira, também conhecidas como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t>Define critérios e procedimentos administrativos para a compensação pela supressão de vegetação em Unidades de Conservação administradas pelo IMA, com a finalidade de 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t>Deliberação CONSEMA nº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w:t>
            </w:r>
            <w:r w:rsidRPr="00DC70B6">
              <w:rPr>
                <w:rFonts w:cstheme="minorHAnsi"/>
                <w:szCs w:val="18"/>
                <w:u w:val="single"/>
                <w:vertAlign w:val="superscript"/>
              </w:rPr>
              <w:t>o</w:t>
            </w:r>
            <w:r w:rsidRPr="00DC70B6">
              <w:rPr>
                <w:rFonts w:cstheme="minorHAnsi"/>
                <w:szCs w:val="18"/>
              </w:rPr>
              <w:t xml:space="preserve">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Reconhecem-se como espécies da fauna brasileira ameaçadas de extinção aquelas constantes na lista anexa a esta Instrução Normativa, sendo essas protegidas integralmente, de acordo com o estabelecido pela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que o Documento de Origem Florestal (DOF) constitui-se licença obrigatória para o controle do transporte e armazenamento de produtos e subprodutos florestais de origem nativa. Alterada pelas Instruções Normativas IBAMA n</w:t>
            </w:r>
            <w:r w:rsidRPr="00DC70B6">
              <w:rPr>
                <w:rFonts w:cstheme="minorHAnsi"/>
                <w:szCs w:val="18"/>
                <w:u w:val="single"/>
                <w:vertAlign w:val="superscript"/>
              </w:rPr>
              <w:t>os</w:t>
            </w:r>
            <w:r w:rsidRPr="00DC70B6">
              <w:rPr>
                <w:rFonts w:cstheme="minorHAnsi"/>
                <w:szCs w:val="18"/>
              </w:rPr>
              <w:t xml:space="preserve">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rsidRPr="00DC70B6">
              <w:rPr>
                <w:rFonts w:cstheme="minorHAnsi"/>
                <w:szCs w:val="18"/>
              </w:rPr>
              <w:t>Aprova a Lista de espécies ameaçadas de extinção segundo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rsidRPr="00DC70B6">
              <w:rPr>
                <w:rFonts w:cstheme="minorHAnsi"/>
                <w:szCs w:val="18"/>
              </w:rPr>
              <w:t>Resolução CONSEMA n°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t>Dispõe sobre a proteção da vegetação nativa. Altera as Leis nº 6.938, de 31 de agosto de 1981; nº 9.393, de 19 de dezembro de 1996; e nº 11.428, de 22 de dezembro de 2006. Revoga as Leis nº 4.771, de 15 de setembro de 1965, e nº 7.754, de 14 de abril de 1989, além da Medida Provisória nº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da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procedimentos para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rPr>
                <w:rFonts w:cstheme="minorHAnsi"/>
                <w:szCs w:val="18"/>
              </w:rPr>
              <w:t xml:space="preserve">Supressão de vegetação nativa em área rural </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rPr>
                <w:rFonts w:cstheme="minorHAnsi"/>
                <w:szCs w:val="18"/>
              </w:rP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rPr>
                <w:rFonts w:cstheme="minorHAnsi"/>
                <w:szCs w:val="18"/>
              </w:rPr>
              <w:t>Dispõe sobre a compensação pelo uso de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rsidRPr="00116DA5">
              <w:rPr>
                <w:rFonts w:cstheme="minorHAnsi"/>
                <w:szCs w:val="18"/>
              </w:rPr>
              <w:t>Definir a documentação necessária à Autorização Ambiental</w:t>
            </w:r>
            <w:r>
              <w:rPr>
                <w:rFonts w:cstheme="minorHAnsi"/>
                <w:szCs w:val="18"/>
              </w:rPr>
              <w:t xml:space="preserve"> </w:t>
            </w:r>
            <w:r w:rsidRPr="00116DA5">
              <w:rPr>
                <w:rFonts w:cstheme="minorHAnsi"/>
                <w:szCs w:val="18"/>
              </w:rPr>
              <w:t>(</w:t>
            </w:r>
            <w:proofErr w:type="spellStart"/>
            <w:r w:rsidRPr="00116DA5">
              <w:rPr>
                <w:rFonts w:cstheme="minorHAnsi"/>
                <w:szCs w:val="18"/>
              </w:rPr>
              <w:t>AuA</w:t>
            </w:r>
            <w:proofErr w:type="spellEnd"/>
            <w:r w:rsidRPr="00116DA5">
              <w:rPr>
                <w:rFonts w:cstheme="minorHAnsi"/>
                <w:szCs w:val="18"/>
              </w:rPr>
              <w:t>) ou Licença Ambiental por Compromisso (LAC) para o</w:t>
            </w:r>
            <w:r>
              <w:rPr>
                <w:rFonts w:cstheme="minorHAnsi"/>
                <w:szCs w:val="18"/>
              </w:rPr>
              <w:t xml:space="preserve"> </w:t>
            </w:r>
            <w:r w:rsidRPr="00116DA5">
              <w:rPr>
                <w:rFonts w:cstheme="minorHAnsi"/>
                <w:szCs w:val="18"/>
              </w:rPr>
              <w:t>Levantamento, Salvamento, Monitoramento e</w:t>
            </w:r>
            <w:r>
              <w:rPr>
                <w:rFonts w:cstheme="minorHAnsi"/>
                <w:szCs w:val="18"/>
              </w:rPr>
              <w:t xml:space="preserve"> </w:t>
            </w:r>
            <w:r w:rsidRPr="00116DA5">
              <w:rPr>
                <w:rFonts w:cstheme="minorHAnsi"/>
                <w:szCs w:val="18"/>
              </w:rPr>
              <w:t>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r>
        <w:t>Quadro 5.1-5 – Legislação de compensação ambiental aplicável ao empreendimento.</w:t>
      </w:r>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rsidRPr="00DC70B6">
              <w:rPr>
                <w:rFonts w:cstheme="minorHAnsi"/>
                <w:sz w:val="20"/>
              </w:rPr>
              <w:t>Estabelece diretrizes para os órgãos ambientais para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t>Portaria IMA nº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Este documento estabelece os procedimentos para fins de cumprimento do compromisso de compensação ambiental decorrente do licenciamento ambiental de significativo impacto 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rPr>
                <w:rFonts w:cstheme="minorHAnsi"/>
                <w:sz w:val="20"/>
              </w:rPr>
              <w:t xml:space="preserve">Estabelece um rito processual claro e detalhado para a compensação da Reserva Legal, essencial para imóveis que até 22 de julho de 2008, apresentavam remanescentes de vegetação nativa abaixo dos percentuais mínimos estipulados pela lei. </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rsidRPr="00EB4005">
              <w:rPr>
                <w:rFonts w:cstheme="minorHAnsi"/>
                <w:szCs w:val="18"/>
              </w:rP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rsidRPr="00627A8A">
              <w:rPr>
                <w:rFonts w:cstheme="minorHAnsi"/>
                <w:szCs w:val="18"/>
              </w:rPr>
              <w:t>Dispõe sobre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t>Resolução CONAMA 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t>Resolução CONAMA nº 436/2011</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rsidRPr="00DC70B6">
              <w:rPr>
                <w:rFonts w:cstheme="minorHAnsi"/>
                <w:szCs w:val="18"/>
              </w:rPr>
              <w:t>Fixa as condições exigíveis para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Estabelece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rsidRPr="00DC70B6">
              <w:rPr>
                <w:rFonts w:cstheme="minorHAnsi"/>
                <w:szCs w:val="18"/>
              </w:rP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rsidRPr="00DC70B6">
              <w:rPr>
                <w:rFonts w:cstheme="minorHAnsi"/>
                <w:szCs w:val="18"/>
              </w:rPr>
              <w:t>Dispõe sobre a obrigatoriedade do registro das pessoas físicas ou jurídicas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t>Resolução CONAMA nº 307, de 5 de julho de 2002.</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rsidRPr="00F34211">
              <w:rPr>
                <w:rFonts w:cstheme="minorHAnsi"/>
                <w:szCs w:val="18"/>
              </w:rPr>
              <w:t>Resolução CONAMA nº448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no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t>Estabelece as atividades e operações insalubres e define os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 as atividades e operações de risco.</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rPr>
                <w:rFonts w:cstheme="minorHAnsi"/>
                <w:szCs w:val="18"/>
              </w:rPr>
              <w:t>Portaria SEP</w:t>
            </w:r>
            <w:r w:rsidR="00611F0D">
              <w:rPr>
                <w:rFonts w:cstheme="minorHAnsi"/>
                <w:szCs w:val="18"/>
              </w:rPr>
              <w:t>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a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t>Estabelece a obrigatoriedade dos Serviços Especializados em Engenharia de Segurança e em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rsidRPr="009E7947">
              <w:rPr>
                <w:rFonts w:cstheme="minorHAnsi"/>
                <w:szCs w:val="18"/>
              </w:rPr>
              <w:t>Estabelece procedimentos do processo</w:t>
            </w:r>
            <w:r>
              <w:rPr>
                <w:rFonts w:cstheme="minorHAnsi"/>
                <w:szCs w:val="18"/>
              </w:rPr>
              <w:t xml:space="preserve"> </w:t>
            </w:r>
            <w:r w:rsidRPr="009E7947">
              <w:rPr>
                <w:rFonts w:cstheme="minorHAnsi"/>
                <w:szCs w:val="18"/>
              </w:rPr>
              <w:t>administrativo para identificação, reconhecimento,</w:t>
            </w:r>
            <w:r>
              <w:rPr>
                <w:rFonts w:cstheme="minorHAnsi"/>
                <w:szCs w:val="18"/>
              </w:rPr>
              <w:t xml:space="preserve"> </w:t>
            </w:r>
            <w:r w:rsidRPr="009E7947">
              <w:rPr>
                <w:rFonts w:cstheme="minorHAnsi"/>
                <w:szCs w:val="18"/>
              </w:rPr>
              <w:t>delimitação, demarcação, desintrusão, titulação e</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para orientar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os procedimentos para a anuência do uso de áreas em projetos de assentamento do Incra por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t>Organiza-se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Decreto </w:t>
            </w:r>
            <w:r w:rsidR="00A32C88">
              <w:rPr>
                <w:rFonts w:cstheme="minorHAnsi"/>
                <w:szCs w:val="18"/>
              </w:rPr>
              <w:t>nº 050 de 07/10/2029 – Estabelece procedimentos para licenciamento ambiental no âmbito do município</w:t>
            </w:r>
            <w:r w:rsidR="00D9443E">
              <w:rPr>
                <w:rFonts w:cstheme="minorHAnsi"/>
                <w:szCs w:val="18"/>
              </w:rPr>
              <w:t xml:space="preserve"> e dá outras providências. </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161F52">
              <w:rPr>
                <w:rFonts w:cstheme="minorHAnsi"/>
                <w:szCs w:val="18"/>
              </w:rPr>
              <w:t xml:space="preserve">68 </w:t>
            </w:r>
            <w:r w:rsidRPr="0045598C">
              <w:rPr>
                <w:rFonts w:cstheme="minorHAnsi"/>
                <w:szCs w:val="18"/>
              </w:rPr>
              <w:t xml:space="preserve">de </w:t>
            </w:r>
            <w:r w:rsidR="00161F52">
              <w:rPr>
                <w:rFonts w:cstheme="minorHAnsi"/>
                <w:szCs w:val="18"/>
              </w:rPr>
              <w:t>25</w:t>
            </w:r>
            <w:r w:rsidRPr="0045598C">
              <w:rPr>
                <w:rFonts w:cstheme="minorHAnsi"/>
                <w:szCs w:val="18"/>
              </w:rPr>
              <w:t>/</w:t>
            </w:r>
            <w:r w:rsidR="00161F52">
              <w:rPr>
                <w:rFonts w:cstheme="minorHAnsi"/>
                <w:szCs w:val="18"/>
              </w:rPr>
              <w:t>11</w:t>
            </w:r>
            <w:r w:rsidRPr="0045598C">
              <w:rPr>
                <w:rFonts w:cstheme="minorHAnsi"/>
                <w:szCs w:val="18"/>
              </w:rPr>
              <w:t>/20</w:t>
            </w:r>
            <w:r w:rsidR="00161F52">
              <w:rPr>
                <w:rFonts w:cstheme="minorHAnsi"/>
                <w:szCs w:val="18"/>
              </w:rPr>
              <w:t>10</w:t>
            </w:r>
            <w:r w:rsidRPr="0045598C">
              <w:rPr>
                <w:rFonts w:cstheme="minorHAnsi"/>
                <w:szCs w:val="18"/>
              </w:rPr>
              <w:t xml:space="preserve"> – </w:t>
            </w:r>
            <w:r w:rsidR="00161F52">
              <w:rPr>
                <w:rFonts w:cstheme="minorHAnsi"/>
                <w:szCs w:val="18"/>
              </w:rPr>
              <w:t>Institui o Plano Diretor</w:t>
            </w:r>
            <w:r w:rsidR="0043469A">
              <w:rPr>
                <w:rFonts w:cstheme="minorHAnsi"/>
                <w:szCs w:val="18"/>
              </w:rPr>
              <w:t xml:space="preserve"> de desenvolvimento municipal, dispõe sobre as normas, fixa objetivos e diretrizes urbanísticas </w:t>
            </w:r>
            <w:r w:rsidR="003D3E27">
              <w:rPr>
                <w:rFonts w:cstheme="minorHAnsi"/>
                <w:szCs w:val="18"/>
              </w:rPr>
              <w:t xml:space="preserve">do município de Lebon Régis e dá outras providências. </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rPr>
                <w:rFonts w:cstheme="minorHAnsi"/>
                <w:szCs w:val="18"/>
              </w:rPr>
              <w:t xml:space="preserve">Lei nº 1221 de 20/09/1982 – Institui o código de obras do município de Mafra. </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t>Lei Orgânica do município de Papanduva de abril de 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t>Os empreendimentos de transmissão de energia do porte da futura LT 525 Abdon Batista – Curitiba Oeste e Subestação Curitiba Oeste exigem o cumprimento de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rsidRPr="00DF7244">
              <w:rPr>
                <w:rFonts w:cstheme="minorHAnsi"/>
                <w:szCs w:val="18"/>
              </w:rPr>
              <w:t>Decreto n°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t>Regulamenta o Capítulo III do Título IV do Código Brasileiro do Ar (Zonas de Proteção de Aeródromos, Helipontos 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para as ferragens eletrotécnicas usadas em linhas aéreas de transmissão e subestações de alta e extra alta tensões.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Estabelece as condições exigíveis para os procedimentos básicos na abertura de poços e trincheiras, bem como os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Estabelece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t>Fixa as condições exigíveis para a execução de levantamentos topográficos.</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alterado pela Lei n.º 9.074/1995.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a outorga e prorrogações das concessões e permissões de serviços públicos. Altera a Lei nº 8.987/95, e foi alterada pelas Leis nº 9.648/98 e nº 10.848/04. É regulamentada, em parte, pelo Decreto nº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2.335/1997,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9.074/95 e 9.427/96 e autoriza o Poder Executivo a promover a reestruturação das Centrais Elétricas Brasileiras - ELETROBRÁS e de suas subsidiárias. Alterada pelas Leis 10.438/02, 10.848/04 e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t>Resolução ANEEL nº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gerais de contratação do acesso, compreendido o uso e a conexão,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visando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t>ABNT NBR 14653-01:2001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t>Estabelece as diretrizes para 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rsidRPr="00DF7244">
              <w:rPr>
                <w:rFonts w:cstheme="minorHAnsi"/>
                <w:szCs w:val="18"/>
              </w:rPr>
              <w:t xml:space="preserve">Prescreve o método de verificação do poder </w:t>
            </w:r>
            <w:proofErr w:type="spellStart"/>
            <w:r w:rsidRPr="00DF7244">
              <w:rPr>
                <w:rFonts w:cstheme="minorHAnsi"/>
                <w:szCs w:val="18"/>
              </w:rPr>
              <w:t>desaguante</w:t>
            </w:r>
            <w:proofErr w:type="spellEnd"/>
            <w:r w:rsidRPr="00DF7244">
              <w:rPr>
                <w:rFonts w:cstheme="minorHAnsi"/>
                <w:szCs w:val="18"/>
              </w:rPr>
              <w:t xml:space="preserve"> de protetivos temporários contra corrosão sobre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t>Dispõe sobre a expansão da oferta de energia elétrica emergencial, recomposição tarifária extraordinária; cria o Programa de Incentivo às Fontes Alternativas de Energia Elétrica (Proinfa) e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rsidRPr="00DF7244">
              <w:rPr>
                <w:rFonts w:cstheme="minorHAnsi"/>
                <w:szCs w:val="18"/>
              </w:rPr>
              <w:t>Resolução ANEEL n°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rsidRPr="00DF7244">
              <w:rPr>
                <w:rFonts w:cstheme="minorHAnsi"/>
                <w:szCs w:val="18"/>
              </w:rPr>
              <w:t>Resolução ANEEL n°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t>Lei Complementar nº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bem como o processo de outorga de concessões e autorizações para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t>Institui, no âmbito do Programa de Resposta aos Desastres, o Auxílio Emergencial Financeiro para atendimento à população atingida por desastres residentes nos municípios em estado de calamidade pública ou situação de emergência,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t>Estabelece os requisitos mínimos para as esferas de sinalização diurna utilizadas nas linhas aéreas de transmissão de energia elétrica, doravante denominadas 'linhas' ou 'LT'.</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de uso do bem público dos empreendimentos de geração de energia elétrica de que trata o art. 17 da Lei 10.848/04. Altera o Decreto 5.163/04. Alterado pelo Decreto 7.317/10.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exigíveis para verificação da segurança das estruturas usuais da construção civil em relação às ações de sismos e aos critérios de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t>Estabelece a metodologia de medição e os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de Sistemas de Transmissão (CUST) e Contratos de Conexão ao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486/2012.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Estabelece as condições exigíveis para a fabricação, qualificação, aceitação e/ou recebimento de cabos de alumínio nus (CA), empregados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rsidRPr="00DF7244">
              <w:rPr>
                <w:rFonts w:cstheme="minorHAnsi"/>
                <w:szCs w:val="18"/>
              </w:rP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t>Dá nova redação ao art. 54 do Decreto nº 5.163/2004,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rsidRPr="00DF7244">
              <w:rPr>
                <w:rFonts w:cstheme="minorHAnsi"/>
                <w:szCs w:val="18"/>
              </w:rPr>
              <w:t>Resolução ANEEL n°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rsidRPr="00DF7244">
              <w:rPr>
                <w:rFonts w:cstheme="minorHAnsi"/>
                <w:szCs w:val="18"/>
              </w:rPr>
              <w:t>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Arts. 24, 36 e 40 do Decreto nº 5.163/2004,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t>Padronização dos vínculos de ferragens integrantes de isoladores de cadeia.</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nº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aplicáveis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t>Aplica-se a cavilhas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excluídas aquelas em que se empregam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