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t>Linha de Transmissão (LT) 525 kV Abdon Batista 2 – Curitiba Oeste e Subestação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rPr>
          <w:rFonts w:asciiTheme="majorHAnsi" w:eastAsiaTheme="minorEastAsia" w:hAnsiTheme="majorHAnsi" w:cstheme="majorHAnsi"/>
          <w:caps w:val="0"/>
        </w:rPr>
        <w:fldChar w:fldCharType="begin"/>
      </w:r>
      <w:r>
        <w:rPr>
          <w:rFonts w:asciiTheme="majorHAnsi" w:eastAsiaTheme="minorEastAsia" w:hAnsiTheme="majorHAnsi" w:cstheme="majorHAnsi"/>
          <w:caps w:val="0"/>
        </w:rPr>
        <w:instrText xml:space="preserve"> TOC \o "1-3" \h \z \u </w:instrText>
      </w:r>
      <w:r>
        <w:rPr>
          <w:rFonts w:asciiTheme="majorHAnsi" w:eastAsiaTheme="minorEastAsia" w:hAnsiTheme="majorHAnsi" w:cstheme="majorHAnsi"/>
          <w:caps w:val="0"/>
        </w:rPr>
        <w:fldChar w:fldCharType="separate"/>
      </w:r>
      <w:hyperlink w:anchor="_Toc187844990" w:history="1">
        <w:r w:rsidR="00C34971" w:rsidRPr="009F129C">
          <w:rPr>
            <w:rStyle w:val="Hyperlink"/>
            <w:noProof/>
          </w:rPr>
          <w:t>5</w:t>
        </w:r>
        <w:r w:rsidR="00C34971">
          <w:rPr>
            <w:rFonts w:asciiTheme="minorHAnsi" w:eastAsiaTheme="minorEastAsia" w:hAnsiTheme="minorHAnsi" w:cstheme="minorBidi"/>
            <w:b w:val="0"/>
            <w:bCs w:val="0"/>
            <w:caps w:val="0"/>
            <w:noProof/>
            <w:kern w:val="2"/>
            <w:sz w:val="24"/>
            <w:szCs w:val="24"/>
            <w:lang w:eastAsia="pt-BR"/>
            <w14:ligatures w14:val="standardContextual"/>
          </w:rPr>
          <w:tab/>
        </w:r>
        <w:r w:rsidR="00C34971" w:rsidRPr="009F129C">
          <w:rPr>
            <w:rStyle w:val="Hyperlink"/>
            <w:noProof/>
          </w:rPr>
          <w:t>LEGISLAÇÃO PERTINENTE</w:t>
        </w:r>
        <w:r w:rsidR="00C34971">
          <w:rPr>
            <w:noProof/>
            <w:webHidden/>
          </w:rPr>
          <w:tab/>
        </w:r>
        <w:r w:rsidR="00C34971">
          <w:rPr>
            <w:noProof/>
            <w:webHidden/>
          </w:rPr>
          <w:fldChar w:fldCharType="begin"/>
        </w:r>
        <w:r w:rsidR="00C34971">
          <w:rPr>
            <w:noProof/>
            <w:webHidden/>
          </w:rPr>
          <w:instrText xml:space="preserve"> PAGEREF _Toc187844990 \h </w:instrText>
        </w:r>
        <w:r w:rsidR="00C34971">
          <w:rPr>
            <w:noProof/>
            <w:webHidden/>
          </w:rPr>
        </w:r>
        <w:r w:rsidR="00C34971">
          <w:rPr>
            <w:noProof/>
            <w:webHidden/>
          </w:rPr>
          <w:fldChar w:fldCharType="separate"/>
        </w:r>
        <w:r w:rsidR="00C34971">
          <w:rPr>
            <w:noProof/>
            <w:webHidden/>
          </w:rPr>
          <w:t>4</w:t>
        </w:r>
        <w:r w:rsidR="00C34971">
          <w:rPr>
            <w:noProof/>
            <w:webHidden/>
          </w:rPr>
          <w:fldChar w:fldCharType="end"/>
        </w:r>
      </w:hyperlink>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A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4" w:history="1">
        <w:r w:rsidRPr="009F129C">
          <w:rPr>
            <w:rStyle w:val="Hyperlink"/>
            <w:noProof/>
          </w:rPr>
          <w:t>5.1.3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Unidades de Conservação e outras áreas protegidas, e intervenções legalmente autorizadas</w:t>
        </w:r>
        <w:r>
          <w:rPr>
            <w:noProof/>
            <w:webHidden/>
          </w:rPr>
          <w:tab/>
        </w:r>
        <w:r>
          <w:rPr>
            <w:noProof/>
            <w:webHidden/>
          </w:rPr>
          <w:fldChar w:fldCharType="begin"/>
        </w:r>
        <w:r>
          <w:rPr>
            <w:noProof/>
            <w:webHidden/>
          </w:rPr>
          <w:instrText xml:space="preserve"> PAGEREF _Toc187844994 \h </w:instrText>
        </w:r>
        <w:r>
          <w:rPr>
            <w:noProof/>
            <w:webHidden/>
          </w:rPr>
        </w:r>
        <w:r>
          <w:rPr>
            <w:noProof/>
            <w:webHidden/>
          </w:rPr>
          <w:fldChar w:fldCharType="separate"/>
        </w:r>
        <w:r>
          <w:rPr>
            <w:noProof/>
            <w:webHidden/>
          </w:rPr>
          <w:t>10</w:t>
        </w:r>
        <w:r>
          <w:rPr>
            <w:noProof/>
            <w:webHidden/>
          </w:rPr>
          <w:fldChar w:fldCharType="end"/>
        </w:r>
      </w:hyperlink>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5.1.4 Conservação de fauna e flora</w:t>
      </w:r>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5.1.10 Resíduos Sólidos</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Comunidades indígenas, quilombolas, pesqueiras e outras tradicionais</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5.3 Demandas judiciais/administrativas diversas 25</w:t>
      </w:r>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por meio de um referencial básico que auxilie na compreensão do meio ambiente e dos objetivos deste EIA, bem como dos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rsidRPr="000D1940">
        <w:rPr>
          <w:lang w:eastAsia="pt-BR"/>
        </w:rP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t>A implantação de empreendimentos, em cumprimento a estas normas, desenvolvendo iniciativas capazes de mitigar os impactos ambientais negativos, é a condição essencial para uma gestão estratégica eficiente dos recursos naturais. Neste contexto, apresentam-se, na sequência, os principais requisitos legais que regulam o processo de licenciamento ambiental de implantação de projetos na área de energia nas esferas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rsidRPr="00403556">
        <w:rPr>
          <w:rStyle w:val="normaltextrun"/>
          <w:rFonts w:ascii="Calibri" w:eastAsiaTheme="minorEastAsia" w:hAnsi="Calibri" w:cs="Calibri"/>
          <w:sz w:val="20"/>
          <w:szCs w:val="20"/>
        </w:rPr>
        <w:t xml:space="preserve">Quando caracterizadas situações que comprometam a continuidade e a segurança do suprimento eletroenergético, reconhecidas pelo Comitê de Monitoramento do Setor </w:t>
      </w:r>
      <w:r w:rsidRPr="00403556">
        <w:rPr>
          <w:rStyle w:val="normaltextrun"/>
          <w:rFonts w:ascii="Calibri" w:eastAsiaTheme="minorEastAsia" w:hAnsi="Calibri" w:cs="Calibri"/>
          <w:sz w:val="20"/>
          <w:szCs w:val="20"/>
        </w:rPr>
        <w:lastRenderedPageBreak/>
        <w:t xml:space="preserve">Elétrico – CMSE, ou a necessidade de sistemas de transmissão de energia elétrica associados a </w:t>
      </w:r>
      <w:proofErr w:type="spellStart"/>
      <w:r w:rsidRPr="00403556">
        <w:rPr>
          <w:rStyle w:val="normaltextrun"/>
          <w:rFonts w:ascii="Calibri" w:eastAsiaTheme="minorEastAsia" w:hAnsi="Calibri" w:cs="Calibri"/>
          <w:sz w:val="20"/>
          <w:szCs w:val="20"/>
        </w:rPr>
        <w:t>empreendimentos</w:t>
      </w:r>
      <w:proofErr w:type="spellEnd"/>
      <w:r w:rsidRPr="00403556">
        <w:rPr>
          <w:rStyle w:val="normaltextrun"/>
          <w:rFonts w:ascii="Calibri" w:eastAsiaTheme="minorEastAsia" w:hAnsi="Calibri" w:cs="Calibri"/>
          <w:sz w:val="20"/>
          <w:szCs w:val="20"/>
        </w:rPr>
        <w:t xml:space="preserve"> estratégicos, indicada pelo Conselho Nacional de Política Energética – CNPE.</w:t>
      </w:r>
      <w:r w:rsidRPr="00403556">
        <w:rPr>
          <w:rStyle w:val="eop"/>
          <w:rFonts w:ascii="Calibri" w:eastAsiaTheme="minorEastAsia" w:hAnsi="Calibri" w:cs="Calibri"/>
          <w:sz w:val="20"/>
          <w:szCs w:val="20"/>
        </w:rPr>
        <w:t> </w:t>
      </w:r>
    </w:p>
    <w:p w14:paraId="063D0802" w14:textId="4120F6F7" w:rsidR="00FF3ECE" w:rsidRDefault="00FF3ECE" w:rsidP="00FF3ECE">
      <w:pPr>
        <w:rPr>
          <w:lang w:eastAsia="pt-BR"/>
        </w:rPr>
      </w:pPr>
      <w:r>
        <w:t>A Lei Complementar nº 140, de 8 de dezembro de 2011, indica a esfera de licenciamento (federal, estadual ou municipal) dependendo da localização do empreendimento. A competência para o licenciamento ambiental da LT 525 kV Abdon Batista 2 – Curitiba Oeste e Subestação Curitiba Oeste, inicialmente, enquadra-se como de competência federal, visto que o empreendimento está localizado em dois ou mais Estados, conforme Art. 7º da referida Lei.</w:t>
      </w:r>
    </w:p>
    <w:p w14:paraId="371A6B22" w14:textId="621A9C94" w:rsidR="00EF761D" w:rsidRPr="000D1940" w:rsidRDefault="00EF761D" w:rsidP="00FF3ECE">
      <w:pPr>
        <w:rPr>
          <w:lang w:eastAsia="pt-BR"/>
        </w:rPr>
      </w:pPr>
      <w:r>
        <w:t>No entanto, a Graúna Transmissora de Energia S.A., por meio da carta CE-STEP-TO-0006-V.1, requereu ao IBAMA análise sobre a possibilidade de delegação de competência, à luz da Instrução Normativa 8/2019, visto que o empreendimento está localizado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11.428/2006), faz-se necessário adotar o procedimento ordinário de licenciamento ambiental, ou seja, elaborar o Estudo de Impacto Ambiental e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r>
        <w:t>A solicitação de abertura de processo, com o objetivo de licenciar ou regularizar empreendimento junto ao IMA, deverá ser feita exclusivamente por meio do endereço eletrônico dos Serviços On-line Software de Licenciamento Ambiental Web (SinFAT Web). O empreendedor deve cumprir cinco etapas, sendo elas:</w:t>
      </w:r>
    </w:p>
    <w:p w14:paraId="435B4C6E" w14:textId="77777777" w:rsidR="00FF3ECE" w:rsidRPr="000D1940" w:rsidRDefault="00FF3ECE" w:rsidP="00FF3ECE">
      <w:pPr>
        <w:pStyle w:val="PargrafodaLista"/>
        <w:numPr>
          <w:ilvl w:val="0"/>
          <w:numId w:val="20"/>
        </w:numPr>
        <w:rPr>
          <w:lang w:eastAsia="pt-BR"/>
        </w:rPr>
      </w:pPr>
      <w: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do Formulário de Caracterização do Empreendimento Integrado (FCEI), do Documento de Arrecadação de Receitas Estaduais (DARE) e da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rsidRPr="000D1940">
        <w:rPr>
          <w:lang w:eastAsia="pt-BR"/>
        </w:rPr>
        <w:t xml:space="preserve">Os tópicos abaixo seguem separados por meio de quadros, separando a legislação quanto a esfera (federal ou estadual), instrumento (número da legislação), data do instrumento e breve explicação da legislação. Os tópicos estão separados de acordo com o solicitado pelo Termo de </w:t>
      </w:r>
      <w:commentRangeStart w:id="46"/>
      <w:r w:rsidRPr="000D1940">
        <w:rPr>
          <w:lang w:eastAsia="pt-BR"/>
        </w:rPr>
        <w:t xml:space="preserve">Referência - TR </w:t>
      </w:r>
      <w:proofErr w:type="gramStart"/>
      <w:r w:rsidRPr="000D1940">
        <w:rPr>
          <w:lang w:eastAsia="pt-BR"/>
        </w:rPr>
        <w:t>nº .</w:t>
      </w:r>
      <w:commentRangeEnd w:id="46"/>
      <w:proofErr w:type="gramEnd"/>
      <w:r w:rsidR="009F6C81">
        <w:rPr>
          <w:rStyle w:val="Refdecomentrio"/>
        </w:rPr>
        <w:commentReference w:id="46"/>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t>Resolução CONAMA nº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t>Define a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e revogando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t>Regulamenta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t>Instrução Normativa IMA nº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conforme a Lei Federal n.º 4.771/65, Decreto Federal n.º 5.975/06 e Instrução Normativa n.º 06/06 do Ministério do Meio Ambiente (MMA), e estabelece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t>Dispõe, no âmbito do licenciamento ambiental, sobre a autorização do órgão responsável pela administração da unidade de conservação (UC), conforme § 3º do artigo 36 da Lei nº 9.985, de 18 de julho de 2000, bem como sobre a ciência desse órgão no caso de licenciamento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rsidRPr="0049732B">
              <w:rPr>
                <w:rFonts w:cstheme="minorHAnsi"/>
                <w:szCs w:val="18"/>
              </w:rP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rsidRPr="0049732B">
              <w:rPr>
                <w:rFonts w:cstheme="minorHAnsi"/>
                <w:szCs w:val="18"/>
              </w:rPr>
              <w:t>Estabelece sobre a emissão de autorizações de captura, coleta e transporte de material biológico para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t>Lei Complementar n.º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visando à cooperação entre a União, os Estados, o Distrito Federal e os Municípios nas ações administrativas decorrentes do exercício da competência comum relativas à proteção das paisagens naturais notáveis, à proteção do meio ambiente, ao combate à poluição em quaisquer de suas formas e à preservação das florestas, da fauna e da flora. Em seu Art. 2º, conceitua o termo do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t>Definir a documentação necessária à Autorização Ambiental (AuA) ou Licença Ambiental por Compromisso (LAC) para o Levantamento, Salvamento, Monitoramento e Manejo/Controle de Fauna Silvestre, visando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rsidRPr="0049732B">
              <w:rPr>
                <w:rFonts w:cstheme="minorHAnsi"/>
                <w:szCs w:val="18"/>
              </w:rP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para 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rsidRPr="0049732B">
              <w:rPr>
                <w:rFonts w:cstheme="minorHAnsi"/>
                <w:szCs w:val="18"/>
              </w:rP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rsidRPr="0049732B">
              <w:rPr>
                <w:rFonts w:cstheme="minorHAnsi"/>
                <w:szCs w:val="18"/>
              </w:rP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t>Instrução Normativa IMA nº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t>Portaria Conjunta IMA/CPMA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mediante o devido processo legal, por meio do qual serão apuradas as responsabilidades por infrações ambientais, com imposição das sanções, a defesa, o sistema recursal e a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t>Aprovação da nova redação da Norma Regulamentadora nº 01 - Disposições Gerais e Gerenciamento de Riscos Ocupacionais.</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rsidRPr="0049732B">
              <w:rPr>
                <w:rFonts w:cstheme="minorHAnsi"/>
                <w:szCs w:val="18"/>
              </w:rP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w:t>
            </w:r>
          </w:p>
          <w:p w14:paraId="55424C12" w14:textId="43727F1B" w:rsidR="007A7725" w:rsidRPr="0049732B" w:rsidRDefault="00CF05DA" w:rsidP="00CF05DA">
            <w:pPr>
              <w:spacing w:before="0" w:after="0"/>
              <w:jc w:val="left"/>
              <w:rPr>
                <w:rFonts w:cstheme="minorHAnsi"/>
                <w:szCs w:val="18"/>
              </w:rPr>
            </w:pPr>
            <w:r>
              <w:t>2019 e atualiza o rol de ocupações, considerando os profissionais sob fiscalização do Conselho Federal dos Técnicos Agrícolas e do 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rsidRPr="0049732B">
              <w:rPr>
                <w:rFonts w:cstheme="minorHAnsi"/>
                <w:szCs w:val="18"/>
              </w:rP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t>Decreto-Lei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t>Define as normas para outorga e prorrogação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t>Instrui sobre o procedimento de solicitação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t>Lei Ordinária nº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t>Prorroga o prazo de inscrição no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rsidRPr="00DC70B6">
              <w:rPr>
                <w:rFonts w:cstheme="minorHAnsi"/>
                <w:szCs w:val="18"/>
              </w:rPr>
              <w:t>Resolução Normativa da Aneel n</w:t>
            </w:r>
            <w:r w:rsidRPr="00DC70B6">
              <w:rPr>
                <w:rFonts w:cstheme="minorHAnsi"/>
                <w:szCs w:val="18"/>
                <w:u w:val="single"/>
                <w:vertAlign w:val="superscript"/>
              </w:rPr>
              <w:t>o</w:t>
            </w:r>
            <w:r w:rsidRPr="00DC70B6">
              <w:rPr>
                <w:rFonts w:cstheme="minorHAnsi"/>
                <w:szCs w:val="18"/>
              </w:rPr>
              <w:t xml:space="preserve"> </w:t>
            </w:r>
            <w:r>
              <w:rPr>
                <w:rFonts w:cstheme="minorHAnsi"/>
                <w:szCs w:val="18"/>
              </w:rPr>
              <w:t>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Outubro/2016.</w:t>
            </w:r>
          </w:p>
        </w:tc>
      </w:tr>
    </w:tbl>
    <w:p w14:paraId="0F8E13A4" w14:textId="2F64BC3D" w:rsidR="00FF3ECE" w:rsidRDefault="00E804F3" w:rsidP="00DC70B6">
      <w:pPr>
        <w:pStyle w:val="Ttulo3"/>
      </w:pPr>
      <w:bookmarkStart w:id="56" w:name="_Toc187844994"/>
      <w:r>
        <w:t>Unidades de Conservação e outras áreas protegidas, e intervenções legalmente autorizadas</w:t>
      </w:r>
      <w:bookmarkEnd w:id="56"/>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rsidRPr="00DC70B6">
              <w:rPr>
                <w:rFonts w:cstheme="minorHAnsi"/>
                <w:szCs w:val="18"/>
              </w:rPr>
              <w:t>Deliberação CONABIO n°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nº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Reconhecem-se como áreas prioritárias para a conservação, utilização sustentável e repartição de benefícios da biodiversidade brasileira as áreas mencionadas.</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t>Cria-se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t>Instrução Normativa IMA n.º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t>Áreas Prioritárias para a Conservação, Uso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como licença obrigatória para o controle do transporte e armazenamento de produtos e subprodutos florestais de origem nativa. Alterado pelas Instruções Normativas IBAMA n° 134/06 e n°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rsidRPr="00DC70B6">
              <w:rPr>
                <w:rFonts w:cstheme="minorHAnsi"/>
                <w:szCs w:val="18"/>
              </w:rPr>
              <w:t>Instrução Normativa MMA n°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t>Altera a Lei nº 12.651, de 25 de maio de 2012, que dispõe sobre a proteção da vegetação nativa; altera as Leis n.os 6.938, de 31 de agosto de 1981, 9.393, de 19 de dezembro de 1996, e 11.428, de 22 de dezembro de 2006; e revoga as Leis n.os 4.771, de 15 de setembro de 1965, e 7.754, de 14 de abril de 1989, a Medida Provisória nº 2.166/67, de 24 de agosto de 2001, o item 22 do inciso II do art. 167 da Lei nº 6.015, de 31 de dezembro de 1973, e o § 2º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rsidRPr="00DC70B6">
              <w:rPr>
                <w:rFonts w:cstheme="minorHAnsi"/>
                <w:szCs w:val="18"/>
              </w:rPr>
              <w:t xml:space="preserve">Resolução </w:t>
            </w:r>
            <w:proofErr w:type="spellStart"/>
            <w:r w:rsidRPr="00DC70B6">
              <w:rPr>
                <w:rFonts w:cstheme="minorHAnsi"/>
                <w:szCs w:val="18"/>
              </w:rPr>
              <w:t>CFBio</w:t>
            </w:r>
            <w:proofErr w:type="spellEnd"/>
            <w:r w:rsidRPr="00DC70B6">
              <w:rPr>
                <w:rFonts w:cstheme="minorHAnsi"/>
                <w:szCs w:val="18"/>
              </w:rPr>
              <w:t xml:space="preserve"> n</w:t>
            </w:r>
            <w:r w:rsidRPr="00DC70B6">
              <w:rPr>
                <w:rFonts w:cstheme="minorHAnsi"/>
                <w:szCs w:val="18"/>
                <w:u w:val="single"/>
                <w:vertAlign w:val="superscript"/>
              </w:rPr>
              <w:t>o</w:t>
            </w:r>
            <w:r w:rsidRPr="00DC70B6">
              <w:rPr>
                <w:rFonts w:cstheme="minorHAnsi"/>
                <w:szCs w:val="18"/>
              </w:rPr>
              <w:t xml:space="preserve">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na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rPr>
                <w:rFonts w:cstheme="minorHAnsi"/>
                <w:szCs w:val="18"/>
              </w:rP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t>Resolução CONAMA nº 002/1996</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rsidRPr="00DC70B6">
              <w:rPr>
                <w:rFonts w:cstheme="minorHAnsi"/>
                <w:sz w:val="20"/>
              </w:rPr>
              <w:t>Declara o uso das atribuições que lhe são conferidas pela Lei no.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t>Portaria IMA nº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t>Estabelece os procedimentos para o cumprimento do compromisso de compensação ambiental decorrente do licenciamento ambiental de significativo impacto 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t>Resolução CNRH n.º 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 para</w:t>
            </w:r>
          </w:p>
          <w:p w14:paraId="1C4D0271" w14:textId="77777777" w:rsidR="00EB4005" w:rsidRPr="00EB4005" w:rsidRDefault="00EB4005" w:rsidP="00EB4005">
            <w:pPr>
              <w:spacing w:before="0" w:after="0"/>
              <w:jc w:val="left"/>
              <w:rPr>
                <w:rFonts w:cstheme="minorHAnsi"/>
                <w:szCs w:val="18"/>
              </w:rPr>
            </w:pPr>
            <w:r>
              <w:t>obtenção da outorga do direito de uso de recursos hídricos</w:t>
            </w:r>
          </w:p>
          <w:p w14:paraId="01B873E3" w14:textId="51635AA7" w:rsidR="00BF168D" w:rsidRPr="00627A8A" w:rsidRDefault="00EB4005" w:rsidP="00EB4005">
            <w:pPr>
              <w:spacing w:before="0" w:after="0"/>
              <w:jc w:val="left"/>
              <w:rPr>
                <w:rFonts w:cstheme="minorHAnsi"/>
                <w:szCs w:val="18"/>
              </w:rPr>
            </w:pPr>
            <w: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os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r>
        <w:t>Quadro 5.1-7: Legislação sobre emissões atmosféricas aplicável ao empreendimento.</w:t>
      </w:r>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rsidRPr="004C1A0A">
              <w:rPr>
                <w:rFonts w:cstheme="minorHAnsi"/>
                <w:szCs w:val="18"/>
              </w:rP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em fase de solicitação</w:t>
            </w:r>
          </w:p>
          <w:p w14:paraId="3FCC8BCB" w14:textId="77777777" w:rsidR="00E36352" w:rsidRPr="004C1A0A" w:rsidRDefault="00E36352" w:rsidP="00E36352">
            <w:pPr>
              <w:spacing w:before="0" w:after="0"/>
              <w:jc w:val="left"/>
              <w:rPr>
                <w:rFonts w:cstheme="minorHAnsi"/>
                <w:szCs w:val="18"/>
              </w:rPr>
            </w:pPr>
            <w:r>
              <w:t>de licença de instalação anteriores a 02/janeiro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Estabelece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rsidRPr="00DC70B6">
              <w:rPr>
                <w:rFonts w:cstheme="minorHAnsi"/>
                <w:szCs w:val="18"/>
              </w:rP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rsidRPr="00DC70B6">
              <w:rPr>
                <w:rFonts w:cstheme="minorHAnsi"/>
                <w:szCs w:val="18"/>
              </w:rPr>
              <w:t>Dispõe sobre a obrigatoriedade do registro das pessoas físicas ou jurídicas no cadastro técnico federal de pessoas físicas ou jurídicas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t>Estabelece a correta destinação dos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t>CONSELHO NACIONAL DO MEIO AMBIENTE (Brasil). Resolução nº 307, de 5 de julho de 2002.</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t>Estabelece as atividades e operações insalubres e define os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t>Portaria SEPRT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rsidRPr="009E7947">
              <w:rPr>
                <w:rFonts w:cstheme="minorHAnsi"/>
                <w:szCs w:val="18"/>
              </w:rPr>
              <w:t>Estabelece procedimentos do processo</w:t>
            </w:r>
            <w:r>
              <w:rPr>
                <w:rFonts w:cstheme="minorHAnsi"/>
                <w:szCs w:val="18"/>
              </w:rPr>
              <w:t xml:space="preserve"> </w:t>
            </w:r>
            <w:r w:rsidRPr="009E7947">
              <w:rPr>
                <w:rFonts w:cstheme="minorHAnsi"/>
                <w:szCs w:val="18"/>
              </w:rPr>
              <w:t>administrativo para identificação, reconhecimento,</w:t>
            </w:r>
            <w:r>
              <w:rPr>
                <w:rFonts w:cstheme="minorHAnsi"/>
                <w:szCs w:val="18"/>
              </w:rPr>
              <w:t xml:space="preserve"> </w:t>
            </w:r>
            <w:r w:rsidRPr="009E7947">
              <w:rPr>
                <w:rFonts w:cstheme="minorHAnsi"/>
                <w:szCs w:val="18"/>
              </w:rPr>
              <w:t>delimitação, demarcação, desintrusão, titulação e</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disciplinam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rsidRPr="00271630">
              <w:rPr>
                <w:rFonts w:cstheme="minorHAnsi"/>
                <w:szCs w:val="18"/>
              </w:rPr>
              <w:t>licenciamento ambiental de competência do</w:t>
            </w:r>
            <w:r>
              <w:rPr>
                <w:rFonts w:cstheme="minorHAnsi"/>
                <w:szCs w:val="18"/>
              </w:rPr>
              <w:t xml:space="preserve"> </w:t>
            </w:r>
            <w:r w:rsidRPr="00271630">
              <w:rPr>
                <w:rFonts w:cstheme="minorHAnsi"/>
                <w:szCs w:val="18"/>
              </w:rPr>
              <w:t>Instituto Brasileiro do Meio Ambiente e dos</w:t>
            </w:r>
            <w:r>
              <w:rPr>
                <w:rFonts w:cstheme="minorHAnsi"/>
                <w:szCs w:val="18"/>
              </w:rPr>
              <w:t xml:space="preserve"> </w:t>
            </w:r>
            <w:r w:rsidRPr="00271630">
              <w:rPr>
                <w:rFonts w:cstheme="minorHAnsi"/>
                <w:szCs w:val="18"/>
              </w:rPr>
              <w:t>Recursos Naturais Renováveis-IBAMA.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rsidRPr="001F6722">
              <w:rPr>
                <w:rFonts w:cstheme="minorHAnsi"/>
                <w:szCs w:val="18"/>
              </w:rPr>
              <w:t>Dispõe sobre procedimentos para anuência do uso</w:t>
            </w:r>
            <w:r>
              <w:rPr>
                <w:rFonts w:cstheme="minorHAnsi"/>
                <w:szCs w:val="18"/>
              </w:rPr>
              <w:t xml:space="preserve"> </w:t>
            </w:r>
            <w:r w:rsidRPr="001F6722">
              <w:rPr>
                <w:rFonts w:cstheme="minorHAnsi"/>
                <w:szCs w:val="18"/>
              </w:rPr>
              <w:t>de áreas em projetos de assentamento do Incra,</w:t>
            </w:r>
            <w:r>
              <w:rPr>
                <w:rFonts w:cstheme="minorHAnsi"/>
                <w:szCs w:val="18"/>
              </w:rPr>
              <w:t xml:space="preserve"> </w:t>
            </w:r>
            <w:r w:rsidRPr="001F6722">
              <w:rPr>
                <w:rFonts w:cstheme="minorHAnsi"/>
                <w:szCs w:val="18"/>
              </w:rPr>
              <w:t xml:space="preserve">por atividades ou </w:t>
            </w:r>
            <w:proofErr w:type="spellStart"/>
            <w:r w:rsidRPr="001F6722">
              <w:rPr>
                <w:rFonts w:cstheme="minorHAnsi"/>
                <w:szCs w:val="18"/>
              </w:rPr>
              <w:t>empreendimentos</w:t>
            </w:r>
            <w:proofErr w:type="spellEnd"/>
            <w:r w:rsidRPr="001F6722">
              <w:rPr>
                <w:rFonts w:cstheme="minorHAnsi"/>
                <w:szCs w:val="18"/>
              </w:rPr>
              <w:t xml:space="preserve"> minerários, de</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rsidRPr="000771A9">
              <w:rPr>
                <w:rFonts w:cstheme="minorHAnsi"/>
                <w:szCs w:val="18"/>
              </w:rPr>
              <w:t>Decreto 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663981">
              <w:rPr>
                <w:rFonts w:cstheme="minorHAnsi"/>
                <w:szCs w:val="18"/>
              </w:rPr>
              <w:t>029</w:t>
            </w:r>
            <w:r w:rsidRPr="0045598C">
              <w:rPr>
                <w:rFonts w:cstheme="minorHAnsi"/>
                <w:szCs w:val="18"/>
              </w:rPr>
              <w:t xml:space="preserve"> de </w:t>
            </w:r>
            <w:r w:rsidR="00677108">
              <w:rPr>
                <w:rFonts w:cstheme="minorHAnsi"/>
                <w:szCs w:val="18"/>
              </w:rPr>
              <w:t>19</w:t>
            </w:r>
            <w:r w:rsidRPr="0045598C">
              <w:rPr>
                <w:rFonts w:cstheme="minorHAnsi"/>
                <w:szCs w:val="18"/>
              </w:rPr>
              <w:t>/</w:t>
            </w:r>
            <w:r w:rsidR="00677108">
              <w:rPr>
                <w:rFonts w:cstheme="minorHAnsi"/>
                <w:szCs w:val="18"/>
              </w:rPr>
              <w:t>08</w:t>
            </w:r>
            <w:r w:rsidRPr="0045598C">
              <w:rPr>
                <w:rFonts w:cstheme="minorHAnsi"/>
                <w:szCs w:val="18"/>
              </w:rPr>
              <w:t xml:space="preserve">/200 – Institui o Plano Diretor </w:t>
            </w:r>
            <w:r w:rsidR="00677108">
              <w:rPr>
                <w:rFonts w:cstheme="minorHAnsi"/>
                <w:szCs w:val="18"/>
              </w:rPr>
              <w:t>Físico Territorial</w:t>
            </w:r>
            <w:r w:rsidR="005C6FC1">
              <w:rPr>
                <w:rFonts w:cstheme="minorHAnsi"/>
                <w:szCs w:val="18"/>
              </w:rPr>
              <w:t xml:space="preserve">, dispõe sobre as normas, fixa objetivos e diretrizes urbanísticas do município de </w:t>
            </w:r>
            <w:r w:rsidR="008912CC">
              <w:rPr>
                <w:rFonts w:cstheme="minorHAnsi"/>
                <w:szCs w:val="18"/>
              </w:rPr>
              <w:t xml:space="preserve">Brunópolis e dá outras providencias. </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Orgânica do município de Curitibanos de 31 de outubro de 1903 e suas atualizações.</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48 de 2006 – Dispõe sobre o parcelamento do solo para fins urbanos no município de Curitibanos e dá outras providências.</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Orgânica do município de Frei Rogério de 5 de abril de 1990 e suas atualizações.</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nº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t>Lei nº 1.221 de 20/09/1982 – Institui o código de obras do município de Mafra.</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Monte Castelo de março/1990 e suas atualizações.</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Santa Cecília de abril de 1990.</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 11 de 27/11/2003 – Institui o Plano Diretor Físico-Territorial,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t>Dispõe sobre a desapropriação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t>Regulamenta o Capítulo III do Título IV do Código Brasileiro do Ar (Zonas de Proteção de Aeródromos, Helipontos 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t>Dispõe sobre a ocupação de faixas de domínio de rodovias e terrenos de domínio público, bem como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Estabelece as condições exigíveis das ferragens eletrotécnicas utilizadas em linhas aéreas de transmissão e subestações de alta e extra alta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do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t>Prescreve o método para análise granulométrica de solos, realizada por peneiramento ou por uma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os procedimentos básicos na abertura de poço e trincheira bem como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t>Fixa as condições exigíveis para a execução de levantamentos topográficos.</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rsidRPr="00DF7244">
              <w:rPr>
                <w:rFonts w:cstheme="minorHAnsi"/>
                <w:szCs w:val="18"/>
              </w:rPr>
              <w:t>Estabelece normas para outorga e prorrogações das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nº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rsidRPr="00DF7244">
              <w:rPr>
                <w:rFonts w:cstheme="minorHAnsi"/>
                <w:szCs w:val="18"/>
              </w:rPr>
              <w:t>Altera o Decreto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e autoriza o Poder Executivo a promover a reestruturação das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rsidRPr="00DF7244">
              <w:rPr>
                <w:rFonts w:cstheme="minorHAnsi"/>
                <w:szCs w:val="18"/>
              </w:rPr>
              <w:t>Resolução ANEEL n°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incluindo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cuja finalidade é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rsidRPr="00DF7244">
              <w:rPr>
                <w:rFonts w:cstheme="minorHAnsi"/>
                <w:szCs w:val="18"/>
              </w:rPr>
              <w:t>Resolução ANEEL n°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o processo de outorga de concessões e de autorizações de geração de energia elétrica. Alterado pelos Decretos nº 5.249/04, nº 5.271/04, nº 5.597/05, nº 5.911/06, nº 6.048/07, nº 6.210/07, nº 6.353/08, nº 7.129/10, nº 7.317/10 e nº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inciso XI do § 2o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t>Altera dispositivos do Decreto nº 5.163, de 30 de julho de 2004,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t>Fixa os critérios mínimos para sinalização de advertências em linhas aéreas de transmissão de energia elétrica, doravante designadas como linhas ou LT, relativos à segurança física e operacional destas,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t>Estabelece os requisitos mínimos para as esferas de sinalização diurna utilizadas nas linhas aéreas de transmissão de energia elétrica, doravante denominadas linhas ou LTs.</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prorrogação das concessões de uso do bem público dos empreendimentos de geração de energia elétrica de que trata o art. 17 da Lei nº 10.848/04. Altera o Decreto nº 5.163/04. Alterado pelo Decreto nº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rsidRPr="00DF7244">
              <w:rPr>
                <w:rFonts w:cstheme="minorHAnsi"/>
                <w:szCs w:val="18"/>
              </w:rPr>
              <w:t xml:space="preserve">Fixa os requisitos exigíveis para verificação da segurança das estruturas usuais da construção civil relativamente às ações de sismos e os critérios </w:t>
            </w:r>
            <w:r w:rsidRPr="00DF7244">
              <w:rPr>
                <w:rFonts w:cstheme="minorHAnsi"/>
                <w:szCs w:val="18"/>
              </w:rPr>
              <w:lastRenderedPageBreak/>
              <w:t>de quantificação destas ações e das resistências a serem consideradas no projeto das estruturas de edificações, relativamente a estas ações, quaisquer que sejam sua classe e destino, salvo 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t>Estabelece a metodologia de medição e níveis de referência para exposição a campos elétricos e magnéticos de 50 Hz e 60 Hz para o público geral em torno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assistência técnica e prestação de sua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de Sistemas de Transmissão (CUST) e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5.163/04, que regulamenta a comercialização de energia elétrica, além do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o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fabricação, qualificação, aceitação e/ou recebimento de cabos de alumínio nus (CA), empregados para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rsidRPr="00DF7244">
              <w:rPr>
                <w:rFonts w:cstheme="minorHAnsi"/>
                <w:szCs w:val="18"/>
              </w:rP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de Operação do Operador Nacional do Sistema Elétrico (NOS)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t>Define os termos relacionados às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artigos 24, 36 e 40 do Decreto n.º 5.163, de 2004,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rsidRPr="00DF7244">
              <w:rPr>
                <w:rFonts w:cstheme="minorHAnsi"/>
                <w:szCs w:val="18"/>
              </w:rPr>
              <w:t>Altera a Resolução Normativa ANEEL 279/07.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 10.438, de 26 de abril de 2002, 12.111, de 9 de dezembro de 2009, 9.648, de 27 de maio de 1998, 9.427, de 26 de dezembro de 1996, e 10.848, de 15 de março de 2004; revoga dispositivo da Lei n.º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de iluminação para locais de trabalho internos e os requisitos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excluindo-se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