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t>[LT 525 kV ABDON BATISTA 2 – CURITIBA OESTE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 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 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Conservação de Fauna e Flora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5.1.5. Compensação Ambiental</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Comunidades indígenas, quilombolas, pesqueiras e outras tradicionais</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 17</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18 de [Mês]/[Ano]</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5.3 Demandas Judiciais/Administrativas Diversas [25]</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A implantação de empreendimentos em cumprimento a estas normas, desenvolvendo iniciativas capazes de mitigar os impactos ambientais negativos, é a condição essencial para uma gestão estratégica eficiente dos recursos naturais. Neste contexto, apresentam-se, na sequência, os principais requisitos legais que regulam o processo de licenciamento ambiental para a implantação de projetos na área de energia nas esferas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t>As principais diretrizes para a execução do licenciamento ambiental estão expressas na Lei Federal nº 6.938, de 1981,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(CMSE), ou a necessidade de sistemas de transmissão de energia elétrica associados a empreendimentos estratégicos, indicada pelo Conselho Nacional de Política Energética (CNPE).</w:t>
      </w:r>
    </w:p>
    <w:p w14:paraId="063D0802" w14:textId="4120F6F7" w:rsidR="00FF3ECE" w:rsidRDefault="00FF3ECE" w:rsidP="00FF3ECE">
      <w:pPr>
        <w:rPr>
          <w:lang w:eastAsia="pt-BR"/>
        </w:rPr>
      </w:pPr>
      <w:r w:rsidRPr="000D1940">
        <w:rPr>
          <w:lang w:eastAsia="pt-BR"/>
        </w:rPr>
        <w:t xml:space="preserve">A </w:t>
      </w:r>
      <w:r w:rsidR="009761C0">
        <w:rPr>
          <w:lang w:eastAsia="pt-BR"/>
        </w:rPr>
        <w:t xml:space="preserve">Lei Complementar </w:t>
      </w:r>
      <w:r w:rsidR="006C5296">
        <w:rPr>
          <w:lang w:eastAsia="pt-BR"/>
        </w:rPr>
        <w:t>nº 140, de 8 de dezembro de 2011</w:t>
      </w:r>
      <w:r w:rsidRPr="000D1940">
        <w:rPr>
          <w:lang w:eastAsia="pt-BR"/>
        </w:rPr>
        <w:t xml:space="preserve"> indica a esfera de licenciamento (federal, estadual e municipal) a depender da localização do empreendimento. </w:t>
      </w:r>
      <w:r w:rsidR="006545BB" w:rsidRPr="000D1940">
        <w:rPr>
          <w:lang w:eastAsia="pt-BR"/>
        </w:rPr>
        <w:t xml:space="preserve">A competência do licenciamento ambiental da </w:t>
      </w:r>
      <w:r w:rsidR="006545BB" w:rsidRPr="000D1940">
        <w:t xml:space="preserve">LT 525 kV </w:t>
      </w:r>
      <w:r w:rsidR="006545BB">
        <w:t xml:space="preserve">Abdon Batista 2 – Curitiba Oeste e Subestação Curitiba Oeste, inicialmente se enquadra como de competência federal, visto que o empreendimento é localizado em dois ou mais Estados, conforme Art. </w:t>
      </w:r>
      <w:r w:rsidR="00FA1D87">
        <w:t>7</w:t>
      </w:r>
      <w:r w:rsidR="006545BB">
        <w:t>º</w:t>
      </w:r>
      <w:r w:rsidR="00133BE0">
        <w:t xml:space="preserve"> da referida Lei. </w:t>
      </w:r>
      <w:r w:rsidR="0038236F">
        <w:rPr>
          <w:lang w:eastAsia="pt-BR"/>
        </w:rPr>
        <w:t xml:space="preserve"> </w:t>
      </w:r>
    </w:p>
    <w:p w14:paraId="371A6B22" w14:textId="621A9C94" w:rsidR="00EF761D" w:rsidRPr="000D1940" w:rsidRDefault="00EF761D" w:rsidP="00FF3ECE">
      <w:pPr>
        <w:rPr>
          <w:lang w:eastAsia="pt-BR"/>
        </w:rPr>
      </w:pPr>
      <w:r>
        <w:t>o IBAMA delegou ao IMA/SC em [data não especificada], por meio do Ofício [número do ofício não especificado], o licenciamento ambiental da LT 525 kV Abdon Batista 2 – Curitiba Oeste e Subestação Curitiba Oeste.</w:t>
      </w:r>
    </w:p>
    <w:p w14:paraId="5DA633CA" w14:textId="43753937" w:rsidR="00FF3ECE" w:rsidRPr="000D1940" w:rsidRDefault="00DE461A" w:rsidP="00FF3ECE">
      <w:r>
        <w:t>Ainda, c</w:t>
      </w:r>
      <w:r w:rsidR="00FF3ECE" w:rsidRPr="000D1940">
        <w:t xml:space="preserve">onsiderando que a LT supracitada é uma linha de transmissão de grande porte (V ≥ 230 kV) e será instalada na região do bioma Mata Atlântica (Lei Federal n° 11.428/156), se faz necessário adotar o procedimento ordinário de licenciamento ambiental, ou seja, elaborar o Estudo de Impacto Ambiental e respectivo Relatório de Impacto Ambiental. </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com o objetivo de licenciar ou regularizar um empreendimento junto ao IMA deverá ser feita exclusivamente por meio do endereço eletrônico dos Serviços On-line Software de Licenciamento Ambiental Web (SinFAT Web). O empreendedor deve cumprir cinco etapas, sendo elas:</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rsidRPr="000D1940">
        <w:rPr>
          <w:lang w:eastAsia="pt-BR"/>
        </w:rPr>
        <w:t>Etapa 4: Emissão dos documentos de Formulário de Caracterização do Empreendimento Integrado (FCEI) e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só ocorre após 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t>Nesse contexto, foi realizado um levantamento das principais leis, decretos, resoluções, instruções normativas e portarias, selecionando-se os textos que realmente têm uma aplicação direta e imediata em empreendimentos dessa natureza. Nessa pesquisa, foi dada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separando a legislação quanto à esfera (federal ou estadual), instrumento (número da legislação), data do instrumento e uma breve explicação da legislação. Os tópicos estão separados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rsidRPr="0049732B">
              <w:rPr>
                <w:rFonts w:cstheme="minorHAnsi"/>
                <w:szCs w:val="18"/>
              </w:rPr>
              <w:t xml:space="preserve">Disciplina a ação civil pública de responsabilidade por danos causados ao meio-ambiente, ao consumidor, a bens e direitos de valor artístico, estético, histórico, turístico e paisagístico </w:t>
            </w:r>
            <w:hyperlink r:id="rId17" w:history="1">
              <w:r w:rsidRPr="0049732B">
                <w:rPr>
                  <w:rFonts w:cstheme="minorHAnsi"/>
                  <w:szCs w:val="18"/>
                </w:rPr>
                <w:t>(VETADO)</w:t>
              </w:r>
            </w:hyperlink>
            <w:r w:rsidRPr="0049732B">
              <w:rPr>
                <w:rFonts w:cstheme="minorHAnsi"/>
                <w:szCs w:val="18"/>
              </w:rPr>
              <w:t xml:space="preserve">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006/1986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001/1986</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(revogando os art.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as diretrizes para a emissão de autorizações de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acrescentam-se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visando à cooperação entre a União, os Estados, o Distrito Federal e os Municípios em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rsidRPr="0049732B">
              <w:rPr>
                <w:rFonts w:cstheme="minorHAnsi"/>
                <w:szCs w:val="18"/>
              </w:rP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Estabelece-se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através do qual serão apuradas as responsabilidades por infrações ambientais,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t>Aprova a nova redação da Norma Regulamentadora nº 01 — Disposições Gerais e Gerenciamento de Riscos Ocupacionais.</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t>Revogada parcialmente pela Lei nº 18.653, de 2023.</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outubro/2016.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t>Portaria Instituto Brasileiro do Meio Ambiente e dos Recursos Naturais Renováveis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t>Dispõe sobre os parâmetros, definições e limites das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t>Regulamenta artigos da Lei nº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nº 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t>Portaria MMA nº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r>
        <w:t>Conservação da fauna e da flora</w:t>
      </w:r>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112/ano de publicação</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alterada pelas Instruções Normativas IBAMA nº 134/06 e nº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rsidRPr="00DC70B6">
              <w:rPr>
                <w:rFonts w:cstheme="minorHAnsi"/>
                <w:szCs w:val="18"/>
              </w:rPr>
              <w:t>Aprova a Lista de espécies ameaçadas de extinção segundo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nºs 4.771, de 15 de setembro de 1965, e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rsidRPr="00DC70B6">
              <w:rPr>
                <w:rFonts w:cstheme="minorHAnsi"/>
                <w:szCs w:val="18"/>
              </w:rPr>
              <w:t xml:space="preserve">Resolução </w:t>
            </w:r>
            <w:proofErr w:type="spellStart"/>
            <w:r w:rsidRPr="00DC70B6">
              <w:rPr>
                <w:rFonts w:cstheme="minorHAnsi"/>
                <w:szCs w:val="18"/>
              </w:rPr>
              <w:t>CFBio</w:t>
            </w:r>
            <w:proofErr w:type="spellEnd"/>
            <w:r w:rsidRPr="00DC70B6">
              <w:rPr>
                <w:rFonts w:cstheme="minorHAnsi"/>
                <w:szCs w:val="18"/>
              </w:rPr>
              <w:t xml:space="preserve"> n</w:t>
            </w:r>
            <w:r w:rsidRPr="00DC70B6">
              <w:rPr>
                <w:rFonts w:cstheme="minorHAnsi"/>
                <w:szCs w:val="18"/>
                <w:u w:val="single"/>
                <w:vertAlign w:val="superscript"/>
              </w:rPr>
              <w:t>o</w:t>
            </w:r>
            <w:r w:rsidRPr="00DC70B6">
              <w:rPr>
                <w:rFonts w:cstheme="minorHAnsi"/>
                <w:szCs w:val="18"/>
              </w:rPr>
              <w:t xml:space="preserve">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na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da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002/1986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quanto ao cálculo, cobrança, aplicação, aprovação e controle de gastos de recursos provenientes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t>Regulamenta, no âmbito do IBAMA, o procedimento de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do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t>Institui a Política Nacional de Recursos Hídricos,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t>Dispõe sobre a classificação dos corpos de água e diretrizes ambientais para o seu enquadramento, bem como estabelece as condições e padrões de lançamento de efluentes e determina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rsidRPr="00EB4005">
              <w:rPr>
                <w:rFonts w:cstheme="minorHAnsi"/>
                <w:szCs w:val="18"/>
              </w:rPr>
              <w:t>Estabelece diretrizes de articulação dos procedimentos para</w:t>
            </w:r>
          </w:p>
          <w:p w14:paraId="1C4D0271" w14:textId="77777777" w:rsidR="00EB4005" w:rsidRPr="00EB4005" w:rsidRDefault="00EB4005" w:rsidP="00EB4005">
            <w:pPr>
              <w:spacing w:before="0" w:after="0"/>
              <w:jc w:val="left"/>
              <w:rPr>
                <w:rFonts w:cstheme="minorHAnsi"/>
                <w:szCs w:val="18"/>
              </w:rPr>
            </w:pPr>
            <w:r>
              <w:t>obtenção da outorga do direito de uso de recursos hídricos</w:t>
            </w:r>
          </w:p>
          <w:p w14:paraId="01B873E3" w14:textId="51635AA7" w:rsidR="00BF168D" w:rsidRPr="00627A8A" w:rsidRDefault="00EB4005" w:rsidP="00EB4005">
            <w:pPr>
              <w:spacing w:before="0" w:after="0"/>
              <w:jc w:val="left"/>
              <w:rPr>
                <w:rFonts w:cstheme="minorHAnsi"/>
                <w:szCs w:val="18"/>
              </w:rPr>
            </w:pPr>
            <w:r>
              <w:t>conforme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t>Resolução CONAMA nº 436/2011</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rsidRPr="004C1A0A">
              <w:rPr>
                <w:rFonts w:cstheme="minorHAnsi"/>
                <w:szCs w:val="18"/>
              </w:rP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solicitação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r>
        <w:t>Quadro 5.1-8: Legislação sobre ruídos aplicável ao empreendimento.</w:t>
      </w:r>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01/1986</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de pessoas físicas ou jurídicas no Cadastro Técnico Federal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r>
        <w:t>Não aplicável sem informações adicionais concretas</w:t>
      </w:r>
    </w:p>
    <w:p w14:paraId="18156B78" w14:textId="4C4F1DA2" w:rsidR="00FF3ECE" w:rsidRPr="00F34211" w:rsidRDefault="00FF3ECE" w:rsidP="00F34211">
      <w:pPr>
        <w:pStyle w:val="Legenda"/>
      </w:pPr>
      <w:r>
        <w:t>Quadro 5.1-10: Legislação sobre resíduos sólidos aplicável ao empreendimento.</w:t>
      </w:r>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Resolução CONAMA n°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NR-02 e aprovando a nova redação da NR-01.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t>Dispõe sobre a utilização dos equipamentos de proteção individual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r>
        <w:t>Comunidades indígenas, quilombolas, pesqueiras e outras tradicionais.</w:t>
      </w:r>
    </w:p>
    <w:p w14:paraId="50FA2E7B" w14:textId="6C431184" w:rsidR="00FF3ECE" w:rsidRPr="00F34211" w:rsidRDefault="00FF3ECE" w:rsidP="00F34211">
      <w:pPr>
        <w:pStyle w:val="Legenda"/>
      </w:pPr>
      <w:r>
        <w:t>Quadro 5.1-12: Legislação de territórios tradicionais e outras comunidades aplicáveis ao empreendimento.</w:t>
      </w:r>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rsidRPr="009E7947">
              <w:rPr>
                <w:rFonts w:cstheme="minorHAnsi"/>
                <w:szCs w:val="18"/>
              </w:rPr>
              <w:t>registro das terras ocupadas pelos remanescentes</w:t>
            </w:r>
            <w:r>
              <w:rPr>
                <w:rFonts w:cstheme="minorHAnsi"/>
                <w:szCs w:val="18"/>
              </w:rPr>
              <w:t xml:space="preserve"> </w:t>
            </w:r>
            <w:r w:rsidRPr="009E7947">
              <w:rPr>
                <w:rFonts w:cstheme="minorHAnsi"/>
                <w:szCs w:val="18"/>
              </w:rPr>
              <w:t>de comunidades dos quilombos.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Estabelecem-se procedimentos administrativos que regulamentam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t>Dispõe sobre os procedimentos administrativos a serem observados pelo Instituto Nacional de Colonização e Reforma Agrária nos processos de licenciamento ambiental de obras, atividades ou empreendimentos que impactam terras 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rsidRPr="001F6722">
              <w:rPr>
                <w:rFonts w:cstheme="minorHAnsi"/>
                <w:szCs w:val="18"/>
              </w:rPr>
              <w:t>Dispõe sobre procedimentos para anuência do uso</w:t>
            </w:r>
            <w:r>
              <w:rPr>
                <w:rFonts w:cstheme="minorHAnsi"/>
                <w:szCs w:val="18"/>
              </w:rPr>
              <w:t xml:space="preserve"> </w:t>
            </w:r>
            <w:r w:rsidRPr="001F6722">
              <w:rPr>
                <w:rFonts w:cstheme="minorHAnsi"/>
                <w:szCs w:val="18"/>
              </w:rPr>
              <w:t>de áreas em projetos de assentamento do Incra,</w:t>
            </w:r>
            <w:r>
              <w:rPr>
                <w:rFonts w:cstheme="minorHAnsi"/>
                <w:szCs w:val="18"/>
              </w:rPr>
              <w:t xml:space="preserve"> </w:t>
            </w:r>
            <w:r w:rsidRPr="001F6722">
              <w:rPr>
                <w:rFonts w:cstheme="minorHAnsi"/>
                <w:szCs w:val="18"/>
              </w:rPr>
              <w:t xml:space="preserve">por atividades ou </w:t>
            </w:r>
            <w:proofErr w:type="spellStart"/>
            <w:r w:rsidRPr="001F6722">
              <w:rPr>
                <w:rFonts w:cstheme="minorHAnsi"/>
                <w:szCs w:val="18"/>
              </w:rPr>
              <w:t>empreendimentos</w:t>
            </w:r>
            <w:proofErr w:type="spellEnd"/>
            <w:r w:rsidRPr="001F6722">
              <w:rPr>
                <w:rFonts w:cstheme="minorHAnsi"/>
                <w:szCs w:val="18"/>
              </w:rPr>
              <w:t xml:space="preserve">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rsidRPr="000771A9">
              <w:rPr>
                <w:rFonts w:cstheme="minorHAnsi"/>
                <w:szCs w:val="18"/>
              </w:rPr>
              <w:t>Decreto 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032 de ago. 2009 – Dispõe sobre o uso e ocupação do solo urbano (zoneamento) da sede do município de Brunópolis e dá outras providências.</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t>Lei Orgânica do Município de Três Barras de abril de 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dezembro/1995.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 de novembro de 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t>Lei Complementar n.º 06, de 23 de agosto de 2016 – Dispõe sobre o uso, ocupação e parcelamento do solo do município de Vargem e dá outras providências.</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altas e extra altas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para aceitação e recebimento de </w:t>
            </w:r>
            <w:proofErr w:type="spellStart"/>
            <w:r w:rsidRPr="00DF7244">
              <w:rPr>
                <w:rFonts w:cstheme="minorHAnsi"/>
                <w:szCs w:val="18"/>
              </w:rPr>
              <w:t>cupilhas</w:t>
            </w:r>
            <w:proofErr w:type="spellEnd"/>
            <w:r w:rsidRPr="00DF7244">
              <w:rPr>
                <w:rFonts w:cstheme="minorHAnsi"/>
                <w:szCs w:val="18"/>
              </w:rPr>
              <w:t xml:space="preserve"> para conchas de engates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além da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para 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com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t>Fixa as condições exigíveis para o projeto, construção e operação de sistemas de tanques sépticos, incluindo tratamento e disposição de efluentes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t>Estabelece procedimentos para 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nº 9.648/1998, nº 10.438/2002, nº 10.848/2004 e nº 12.111/2009.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t>Regulamenta os arts. 3º, 13, 17 e 23 da Lei nº 10.438, de 26 de abril de 2002, que dispõe sobre a expansão da oferta de energia elétrica emergencial, a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t>Lei Complementar nº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inciso XI do § 2o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Estabelece os critérios mínimos para 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conforme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rsidRPr="00DF7244">
              <w:rPr>
                <w:rFonts w:cstheme="minorHAnsi"/>
                <w:szCs w:val="18"/>
              </w:rPr>
              <w:t xml:space="preserve">Fixa os requisitos exigíveis para verificação da segurança das estruturas usuais da construção civil relativamente às ações de sismos e os critérios </w:t>
            </w:r>
            <w:r w:rsidRPr="00DF7244">
              <w:rPr>
                <w:rFonts w:cstheme="minorHAnsi"/>
                <w:szCs w:val="18"/>
              </w:rPr>
              <w:lastRenderedPageBreak/>
              <w:t>de quantificação destas ações e das resistências a serem consideradas no projeto das estruturas de edificações, relativamente a estas ações, quaisquer que sejam sua classe e destino, salvo 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nº 247 da ANEEL</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os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486/2012.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questões relacionadas aos transformadores de potência. Atualizado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Fixa as condições exigíveis para a fabricação, qualificação, aceitação e/ou recebimento de cabos de alumínio nus (CA), empregados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9.074/1995, 9.427/1996 e 10.848/2004; revoga dispositivos da Lei 9.648/1998. Regulamentada pelo Decreto 7.246/2010.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nº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excluídas aquelas em que se emprega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