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t>ESTUDO DE IMPACTO AMBIENTAL</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A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Políticas e Licenciamento Ambiental</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5.1.9 Poluição do Solo e Efluentes Líquidos 16</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ajude na compreensão do meio ambiente e dos objetivos deste EIA, bem como 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rPr>
          <w:rStyle w:val="normaltextrun"/>
          <w:rFonts w:cs="Calibri"/>
        </w:rPr>
        <w:t>Considera-se ainda o Decreto nº 8.437, de 22 de abril de 2015, que dispõe a tipologia de empreendimentos e atividades cujo licenciamento ambiental será de competência da União, e que define, em seu art. 3º, § 3º, que os empreendimentos serão licenciados pelo órgão ambiental federal:</w:t>
      </w:r>
      <w:r>
        <w:rPr>
          <w:rStyle w:val="eop"/>
          <w:rFonts w:cs="Calibri"/>
        </w:rPr>
        <w:t> </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rsidRPr="00403556">
        <w:rPr>
          <w:rStyle w:val="normaltextrun"/>
          <w:rFonts w:ascii="Calibri" w:eastAsiaTheme="minorEastAsia" w:hAnsi="Calibri" w:cs="Calibri"/>
          <w:sz w:val="20"/>
          <w:szCs w:val="20"/>
        </w:rPr>
        <w:t xml:space="preserve">Quando caracterizadas situações que comprometam a continuidade e a segurança do suprimento eletroenergético, reconhecidas pelo Comitê de Monitoramento do Setor </w:t>
      </w:r>
      <w:r w:rsidRPr="00403556">
        <w:rPr>
          <w:rStyle w:val="normaltextrun"/>
          <w:rFonts w:ascii="Calibri" w:eastAsiaTheme="minorEastAsia" w:hAnsi="Calibri" w:cs="Calibri"/>
          <w:sz w:val="20"/>
          <w:szCs w:val="20"/>
        </w:rPr>
        <w:lastRenderedPageBreak/>
        <w:t xml:space="preserve">Elétrico – CMSE, ou a necessidade de sistemas de transmissão de energia elétrica associados a </w:t>
      </w:r>
      <w:proofErr w:type="spellStart"/>
      <w:r w:rsidRPr="00403556">
        <w:rPr>
          <w:rStyle w:val="normaltextrun"/>
          <w:rFonts w:ascii="Calibri" w:eastAsiaTheme="minorEastAsia" w:hAnsi="Calibri" w:cs="Calibri"/>
          <w:sz w:val="20"/>
          <w:szCs w:val="20"/>
        </w:rPr>
        <w:t>empreendimentos</w:t>
      </w:r>
      <w:proofErr w:type="spellEnd"/>
      <w:r w:rsidRPr="00403556">
        <w:rPr>
          <w:rStyle w:val="normaltextrun"/>
          <w:rFonts w:ascii="Calibri" w:eastAsiaTheme="minorEastAsia" w:hAnsi="Calibri" w:cs="Calibri"/>
          <w:sz w:val="20"/>
          <w:szCs w:val="20"/>
        </w:rPr>
        <w:t xml:space="preserve"> estratégicos, indicada pelo Conselho Nacional de Política Energética – CNPE.</w:t>
      </w:r>
      <w:r w:rsidRPr="00403556">
        <w:rPr>
          <w:rStyle w:val="eop"/>
          <w:rFonts w:ascii="Calibri" w:eastAsiaTheme="minorEastAsia" w:hAnsi="Calibri" w:cs="Calibri"/>
          <w:sz w:val="20"/>
          <w:szCs w:val="20"/>
        </w:rPr>
        <w:t> </w:t>
      </w:r>
    </w:p>
    <w:p w14:paraId="063D0802" w14:textId="4120F6F7" w:rsidR="00FF3ECE" w:rsidRDefault="00FF3ECE" w:rsidP="00FF3ECE">
      <w:pPr>
        <w:rPr>
          <w:lang w:eastAsia="pt-BR"/>
        </w:rPr>
      </w:pPr>
      <w:r>
        <w:t>A Lei Complementar nº 140, de 8 de dezembro de 2011, indica a esfera de licenciamento (federal, estadual e municipal) a depender da localização do empreendimento. A competência do licenciamento ambiental da LT 525 kV Abdon Batista 2 – Curitiba Oeste e Subestação Curitiba Oeste, inicialmente, se enquadra como de competência federal, visto que o empreendimento está localizado em dois ou mais Estados, conforme Art. 7º da referida Lei.</w:t>
      </w:r>
    </w:p>
    <w:p w14:paraId="371A6B22" w14:textId="621A9C94" w:rsidR="00EF761D" w:rsidRPr="000D1940" w:rsidRDefault="00EF761D" w:rsidP="00FF3ECE">
      <w:pPr>
        <w:rPr>
          <w:lang w:eastAsia="pt-BR"/>
        </w:rPr>
      </w:pPr>
      <w:r>
        <w:rPr>
          <w:lang w:eastAsia="pt-BR"/>
        </w:rPr>
        <w:t xml:space="preserve">No entanto, a Graúna Transmissora de Energia S.A., por meio da </w:t>
      </w:r>
      <w:r w:rsidR="00CB5F82">
        <w:rPr>
          <w:lang w:eastAsia="pt-BR"/>
        </w:rPr>
        <w:t xml:space="preserve">Carta CE-STEP-TO-0006-V.1, </w:t>
      </w:r>
      <w:r w:rsidR="00467A03">
        <w:rPr>
          <w:lang w:eastAsia="pt-BR"/>
        </w:rPr>
        <w:t>requereu ao IBAMA análise quanto à possibilidade de delegação de competência, à luz da Instrução Normativa 8/2019</w:t>
      </w:r>
      <w:r w:rsidR="006741F7">
        <w:rPr>
          <w:lang w:eastAsia="pt-BR"/>
        </w:rPr>
        <w:t>, visto que o empreendimento está incluído principalmente no estado de Santa Catarina</w:t>
      </w:r>
      <w:r w:rsidR="00131387">
        <w:rPr>
          <w:lang w:eastAsia="pt-BR"/>
        </w:rPr>
        <w:t xml:space="preserve">. Nesse contexto, o IBAMA delegou </w:t>
      </w:r>
      <w:commentRangeStart w:id="4"/>
      <w:r w:rsidR="00131387">
        <w:rPr>
          <w:lang w:eastAsia="pt-BR"/>
        </w:rPr>
        <w:t>ao IMA</w:t>
      </w:r>
      <w:r w:rsidR="00FA2E36">
        <w:rPr>
          <w:lang w:eastAsia="pt-BR"/>
        </w:rPr>
        <w:t>/SC</w:t>
      </w:r>
      <w:r w:rsidR="00131387">
        <w:rPr>
          <w:lang w:eastAsia="pt-BR"/>
        </w:rPr>
        <w:t xml:space="preserve"> </w:t>
      </w:r>
      <w:r w:rsidR="007836DF">
        <w:rPr>
          <w:lang w:eastAsia="pt-BR"/>
        </w:rPr>
        <w:t>em XXXXX, por meio do Ofício XXXX</w:t>
      </w:r>
      <w:commentRangeEnd w:id="4"/>
      <w:r w:rsidR="007836DF">
        <w:rPr>
          <w:rStyle w:val="Refdecomentrio"/>
        </w:rPr>
        <w:commentReference w:id="4"/>
      </w:r>
      <w:r w:rsidR="007836DF">
        <w:rPr>
          <w:lang w:eastAsia="pt-BR"/>
        </w:rPr>
        <w:t xml:space="preserve">, o licenciamento ambiental da </w:t>
      </w:r>
      <w:r w:rsidR="007836DF" w:rsidRPr="000D1940">
        <w:t xml:space="preserve">LT 525 kV </w:t>
      </w:r>
      <w:r w:rsidR="007836DF">
        <w:t xml:space="preserve">Abdon Batista 2 – Curitiba Oeste e Subestação Curitiba Oeste. </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11.428/2006),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bookmarkStart w:id="8" w:name="_Hlk8654762"/>
      <w:bookmarkStart w:id="9" w:name="_Toc165194631"/>
      <w:bookmarkStart w:id="10" w:name="_Toc166044284"/>
      <w:bookmarkStart w:id="11" w:name="_Toc166044505"/>
      <w:bookmarkStart w:id="12" w:name="_Toc167070688"/>
      <w:bookmarkStart w:id="13" w:name="_Toc168463268"/>
      <w:bookmarkStart w:id="14" w:name="_Toc168727920"/>
      <w:bookmarkStart w:id="15" w:name="_Toc168728147"/>
      <w:bookmarkStart w:id="16" w:name="_Toc168734839"/>
      <w:bookmarkStart w:id="17" w:name="_Toc168749665"/>
      <w:bookmarkStart w:id="18" w:name="_Toc168752466"/>
      <w:bookmarkStart w:id="19" w:name="_Toc168752602"/>
      <w:bookmarkStart w:id="20" w:name="_Toc168767802"/>
      <w:bookmarkStart w:id="21" w:name="_Toc496806847"/>
      <w:r w:rsidRPr="000D1940">
        <w:rPr>
          <w:lang w:eastAsia="pt-BR"/>
        </w:rPr>
        <w:t xml:space="preserve">A solicitação de abertura de processo com o objetivo de licenciar ou regularizar empreendimento junto ao IMA deverá ser feita, exclusivamente, por meio do endereço eletrônico dos </w:t>
      </w:r>
      <w:r w:rsidRPr="000D1940">
        <w:rPr>
          <w:i/>
          <w:lang w:eastAsia="pt-BR"/>
        </w:rPr>
        <w:t>Serviços On-line</w:t>
      </w:r>
      <w:r w:rsidRPr="000D1940">
        <w:rPr>
          <w:lang w:eastAsia="pt-BR"/>
        </w:rPr>
        <w:t xml:space="preserve"> Software de Licenciamento Ambiental Web (</w:t>
      </w:r>
      <w:proofErr w:type="spellStart"/>
      <w:r w:rsidRPr="000D1940">
        <w:rPr>
          <w:lang w:eastAsia="pt-BR"/>
        </w:rPr>
        <w:t>SinFAT</w:t>
      </w:r>
      <w:proofErr w:type="spellEnd"/>
      <w:r w:rsidRPr="000D1940">
        <w:rPr>
          <w:lang w:eastAsia="pt-BR"/>
        </w:rPr>
        <w:t xml:space="preserve"> Web). O empreendedor deve cumprir cinco etapas, sendo essas: </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rsidRPr="000D1940">
        <w:rPr>
          <w:lang w:eastAsia="pt-BR"/>
        </w:rPr>
        <w:t>Etapa 4: Emissão dos documentos de Formulário de Caracterização do Empreendimento Integrado (FCEI) e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rsidRPr="000D1940">
        <w:rPr>
          <w:lang w:eastAsia="pt-BR"/>
        </w:rPr>
        <w:t xml:space="preserve">Os tópicos abaixo seguem separados por meio de quadros, separando a legislação quanto a esfera (federal ou estadual), instrumento (número da legislação), data do instrumento e breve explicação da legislação. Os tópicos estão separados de acordo com o solicitado pelo Termo de </w:t>
      </w:r>
      <w:commentRangeStart w:id="46"/>
      <w:r w:rsidRPr="000D1940">
        <w:rPr>
          <w:lang w:eastAsia="pt-BR"/>
        </w:rPr>
        <w:t xml:space="preserve">Referência - TR </w:t>
      </w:r>
      <w:proofErr w:type="gramStart"/>
      <w:r w:rsidRPr="000D1940">
        <w:rPr>
          <w:lang w:eastAsia="pt-BR"/>
        </w:rPr>
        <w:t>nº .</w:t>
      </w:r>
      <w:commentRangeEnd w:id="46"/>
      <w:proofErr w:type="gramEnd"/>
      <w:r w:rsidR="009F6C81">
        <w:rPr>
          <w:rStyle w:val="Refdecomentrio"/>
        </w:rPr>
        <w:commentReference w:id="46"/>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t>Resolução CONAMA nº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diretrizes para a emissão de autorizações de captura, coleta e transporte de material biológico, visando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instituindo a cooperação entre a União, os Estados, o Distrito Federal e os Municípios nas ações administrativas relacionadas ao exercício da competência comum, referentes à proteção das paisagens naturais notáveis, à proteção do meio ambiente, ao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Aprovar a Lei Estadual nº 14.675 e definir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 (Ano de publicação ou título específico, se disponível)</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 de março de 2019</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Estabelecer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t>Atividades sujeitas ao Cadastro Ambiental Rural.</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t>Institui a Orientação Técnica Normativa n.º 01/2022-Dilic, que consolida o tratamento técnico e regulatório a ser dado ao tema de abertura de picadas e trilhas no âmbito dos processos de licenciamento ambiental federal, 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adotando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9.406/2018</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rsidRPr="00DA65F6">
              <w:rPr>
                <w:rFonts w:cstheme="minorHAnsi"/>
                <w:szCs w:val="18"/>
              </w:rPr>
              <w:t>Estabelece os procedimentos gerais para requerimento de Declaração de Utilidade Pública -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de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a utilização sustentável e a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rsidRPr="00DC70B6">
              <w:rPr>
                <w:rFonts w:cstheme="minorHAnsi"/>
                <w:szCs w:val="18"/>
              </w:rPr>
              <w:t xml:space="preserve">Decreto MMA n° 5.758 </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t>Define critérios e procedimentos administrativos para a compensação pela supressão de vegetação em Unidades de Conservação administradas pelo IMA, com a finalidade de 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r>
        <w:t>Conservação da fauna e flora</w:t>
      </w:r>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t>Deliberação CONSEMA nº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w:t>
            </w:r>
            <w:r w:rsidRPr="00DC70B6">
              <w:rPr>
                <w:rFonts w:cstheme="minorHAnsi"/>
                <w:szCs w:val="18"/>
                <w:u w:val="single"/>
                <w:vertAlign w:val="superscript"/>
              </w:rPr>
              <w:t>o</w:t>
            </w:r>
            <w:r w:rsidRPr="00DC70B6">
              <w:rPr>
                <w:rFonts w:cstheme="minorHAnsi"/>
                <w:szCs w:val="18"/>
              </w:rPr>
              <w:t xml:space="preserve">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 licença obrigatória para o controle do transporte e armazenamento de produtos e subprodutos florestais de origem nativa, alterada pelas Instruções Normativas do IBAMA nos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rsidRPr="00DC70B6">
              <w:rPr>
                <w:rFonts w:cstheme="minorHAnsi"/>
                <w:szCs w:val="18"/>
              </w:rPr>
              <w:t>Instrução Normativa MMA n°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nº 9.393, de 19 de dezembro de 1996, e nº 11.428, de 22 de dezembro de 2006. Revoga as Leis nº 4.771, de 15 de setembro de 1965, e nº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t>Dispõe sobre os procedimentos de captura, contenção, marcação, soltura e coleta de animais vertebrados *in situ* e *ex situ*,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na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solicitação de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quanto ao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t>Portaria IMA nº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do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t>Dispõe sobre os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rsidRPr="004C1A0A">
              <w:rPr>
                <w:rFonts w:cstheme="minorHAnsi"/>
                <w:szCs w:val="18"/>
              </w:rP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rsidRPr="004C1A0A">
              <w:rPr>
                <w:rFonts w:cstheme="minorHAnsi"/>
                <w:szCs w:val="18"/>
              </w:rPr>
              <w:t>de licença de instalação anteriores a 02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Estabelece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t>Portaria MINTER nº 92/1980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t>Dispõe sobre critérios 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 adotado na identificação de coletores e transportadores, bem como nas campanhas informativas sobre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t>Altera a Resolução CONAMA nº 307, de julho/2002,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t>Altera os Arts. 2º, 4º, 5º, 6º, 8º, 9º, 10 e 11 da Resolução n.º 307, de 05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t>Define as disposições gerais sobre a segurança e a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regulam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por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032 de agosto de 2009 – Dispõe sobre o uso e ocupação do solo urbano (zoneamento) da sede do município de Brunópolis e dá outras providências.</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Friburgo, de abril de 1990, e suas atualizações.</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Lebon Régis, de 05/04/1990, e suas atualizações.</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n.º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Papanduva de abril de 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t>Lei Complementar nº 26 de 03/12/2010 – Institui o Plano Diretor de desenvolvimento municipal, dispõe sobre as normas, fixa objetivos e diretrizes urbanísticas do município de Santa Cecília e dá outras providências.</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t>Lei Complementar n° 06, de 23 de agosto de 2016 – Dispõe sobre o uso, ocupação e parcelamento do solo do município de Vargem e dá outras providências.</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t>Lei Orgânica do Município de Antônio Olinto de abril de 1990.</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março de 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t>Regulamenta o art. 151, alínea c, do Código de Águas (Decreto nº 24.643,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t>Decreto nº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utilizadas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t>Prescreve o método para 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com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9.074/1995.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 e prorrogações das concessões e permissões de serviços públicos. Altera a Lei nº 8.987/95. Alterada pelas Leis nº 9.648/98 e nº 10.848/04. Regulamentada, em parte, pelo Decreto nº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transmissão, distribuição e comercialização da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9.074/1995 e nº 9.427/1996 e autoriza o Poder Executivo a promover a reestruturação das Centrais Elétricas Brasileiras - ELETROBRÁS e de suas subsidiárias. Alterada pelas Leis nº 10.438/2002, nº 10.848/2004 e nº 12.111/2009.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a conexão, os sistemas de transmissão e de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e suas finalidades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da capacidade desaguante de protetivos temporários contra corrosão sobre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nº 9.427/96, nº 9.648/98 e nº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t>Regulamenta os Arts. 3º, 13, 17 e 23 da Lei nº 10.438, de 26 de abril de 2002, que dispõem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e altera as Leis 9.074/95, 9.427/96, 9.648/98 e 10.438/02, sendo posteriormente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bem como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e o processo de outorga de concessões 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de uso do bem público dos empreendimentos de geração de energia elétrica de que trata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rsidRPr="00DF7244">
              <w:rPr>
                <w:rFonts w:cstheme="minorHAnsi"/>
                <w:szCs w:val="18"/>
              </w:rPr>
              <w:t xml:space="preserve">Fixa os requisitos exigíveis para verificação da segurança das estruturas usuais da construção civil relativamente às ações de sismos e os critérios </w:t>
            </w:r>
            <w:r w:rsidRPr="00DF7244">
              <w:rPr>
                <w:rFonts w:cstheme="minorHAnsi"/>
                <w:szCs w:val="18"/>
              </w:rPr>
              <w:lastRenderedPageBreak/>
              <w:t>de quantificação destas ações e das resistências a serem consideradas no projeto das estruturas de edificações, relativamente a estas ações, quaisquer que sejam sua classe e destino, salvo 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transferência de tecnologia, assistência técnica e prestação de sua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de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5.163/04, que regulamenta a comercialização de energia elétrica e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o qual regulamenta a comercialização de energia elétrica, o processo de outorga de concessões e autorizações para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proofErr w:type="gramStart"/>
            <w:r w:rsidRPr="00DF7244">
              <w:rPr>
                <w:rFonts w:cstheme="minorHAnsi"/>
                <w:szCs w:val="18"/>
              </w:rPr>
              <w:t>Especifica</w:t>
            </w:r>
            <w:proofErr w:type="gramEnd"/>
            <w:r w:rsidRPr="00DF7244">
              <w:rPr>
                <w:rFonts w:cstheme="minorHAnsi"/>
                <w:szCs w:val="18"/>
              </w:rPr>
              <w:t xml:space="preserve"> sobre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t>Dá nova redação ao art. 54 do Decreto nº 5.163/2004,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 dispositivo ao Decreto 7.246/10, que dispõe sobre o serviço de energia elétrica dos Sistemas Isolados e as instalações de transmissão de interligações internacionais no Sistema Interligado Nacional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e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básicos exigíveis para o projeto de estruturas de concreto simples, armado e protendido, excluídas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