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 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5 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5.1.3 Unidades de Conservação e outras áreas protegidas, e intervenções legalmente autorizadas 10</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5.1.5 Compensação Ambiental 14/05/2023</w:t>
      </w:r>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 [15 de Mês/200–]</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16/06/2021</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5.1.10 Resíduos Sólidos 16</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3" w:history="1">
        <w:r w:rsidRPr="009F129C">
          <w:rPr>
            <w:rStyle w:val="Hyperlink"/>
            <w:noProof/>
          </w:rPr>
          <w:t>5.1.12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Comunidades Indígenas, quilombolas, pesqueiras e outras tradicionais</w:t>
        </w:r>
        <w:r>
          <w:rPr>
            <w:noProof/>
            <w:webHidden/>
          </w:rPr>
          <w:tab/>
        </w:r>
        <w:r>
          <w:rPr>
            <w:noProof/>
            <w:webHidden/>
          </w:rPr>
          <w:fldChar w:fldCharType="begin"/>
        </w:r>
        <w:r>
          <w:rPr>
            <w:noProof/>
            <w:webHidden/>
          </w:rPr>
          <w:instrText xml:space="preserve"> PAGEREF _Toc187845003 \h </w:instrText>
        </w:r>
        <w:r>
          <w:rPr>
            <w:noProof/>
            <w:webHidden/>
          </w:rPr>
        </w:r>
        <w:r>
          <w:rPr>
            <w:noProof/>
            <w:webHidden/>
          </w:rPr>
          <w:fldChar w:fldCharType="separate"/>
        </w:r>
        <w:r>
          <w:rPr>
            <w:noProof/>
            <w:webHidden/>
          </w:rPr>
          <w:t>17</w:t>
        </w:r>
        <w:r>
          <w:rPr>
            <w:noProof/>
            <w:webHidden/>
          </w:rPr>
          <w:fldChar w:fldCharType="end"/>
        </w:r>
      </w:hyperlink>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t>A Lei Complementar nº 140, de 08 de dezembro de 2011, indica a esfera de licenciamento (federal, estadual e municipal) dependendo da localização do empreendimento.</w:t>
      </w:r>
    </w:p>
    <w:p w14:paraId="371A6B22" w14:textId="621A9C94" w:rsidR="00EF761D" w:rsidRPr="000D1940" w:rsidRDefault="00EF761D" w:rsidP="00FF3ECE">
      <w:pPr>
        <w:rPr>
          <w:lang w:eastAsia="pt-BR"/>
        </w:rPr>
      </w:pPr>
      <w:r>
        <w:t>No entanto, a Graúna Transmissora de Energia S.A., por meio da Carta CE-STEP-TO-0006-V.1, solicitou ao IBAMA uma análise sobre a possibilidade de delegação de competência, à luz da Instrução Normativa 8/2019, visto que o empreendimento se localiza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de Licenciamento Ambiental (SinFAT Web). O empreendedor deve cumprir cinco etapas, que são:</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rsidRPr="000D1940">
        <w:rPr>
          <w:lang w:eastAsia="pt-BR"/>
        </w:rP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de Formulário de Caracterização do Empreendimento Integrado (FCEI), Documento de Arrecadação de Receitas Estaduais (DARE) e Instrução Normativa (IN).</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só ocorre após a conclusão das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BRASIL. Lei nº 10.406, de 10 de janeiro de 2002. Institui o Código Civil. Diário Oficial da União: seção 1, Brasília, DF, 11 jan. 2002.</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t>Resolução CONAMA nº 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rsidRPr="0049732B">
              <w:rPr>
                <w:rFonts w:cstheme="minorHAnsi"/>
                <w:szCs w:val="18"/>
              </w:rPr>
              <w:t>Resolução CONAMA n°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rsidRPr="0049732B">
              <w:rPr>
                <w:rFonts w:cstheme="minorHAnsi"/>
                <w:szCs w:val="18"/>
              </w:rPr>
              <w:t>Estabelece sobre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visando à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visando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nº 12.111, de 9 de dezembro de 2009, nº 9.648, de 27 de maio de 1998, nº 9.427, de 26 de dezembro de 1996, e nº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para 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apuração de infrações administrativas ambientais por condutas e atividades lesivas ao meio ambiente, instrumentalizados mediante o devido processo legal, pelo qual serão apuradas as responsabilidades por infrações ambientais, com imposição de sanções, defesa, sistema recursal e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rsidRPr="0049732B">
              <w:rPr>
                <w:rFonts w:cstheme="minorHAnsi"/>
                <w:szCs w:val="18"/>
              </w:rP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t>Decreto-Lei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rsidRPr="00DC70B6">
              <w:rPr>
                <w:rFonts w:cstheme="minorHAnsi"/>
                <w:szCs w:val="18"/>
              </w:rPr>
              <w:t>Resolução Normativa da Aneel n</w:t>
            </w:r>
            <w:r w:rsidRPr="00DC70B6">
              <w:rPr>
                <w:rFonts w:cstheme="minorHAnsi"/>
                <w:szCs w:val="18"/>
                <w:u w:val="single"/>
                <w:vertAlign w:val="superscript"/>
              </w:rPr>
              <w:t>o</w:t>
            </w:r>
            <w:r w:rsidRPr="00DC70B6">
              <w:rPr>
                <w:rFonts w:cstheme="minorHAnsi"/>
                <w:szCs w:val="18"/>
              </w:rPr>
              <w:t xml:space="preserve"> </w:t>
            </w:r>
            <w:r>
              <w:rPr>
                <w:rFonts w:cstheme="minorHAnsi"/>
                <w:szCs w:val="18"/>
              </w:rPr>
              <w:t>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rsidRPr="00DA65F6">
              <w:rPr>
                <w:rFonts w:cstheme="minorHAnsi"/>
                <w:szCs w:val="18"/>
              </w:rPr>
              <w:t>Estabelece os procedimentos gerais para requerimento de Declaração de Utilidade Pública -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além de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t>Decreto nº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t>Dispõe sobre o uso das cavidades subterrâneas, entre outros aspectos.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t>Dispõe sobre os parâmetros, definições e limites de áreas de preservação permanente em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t>Dispõe sobre parâmetros, definições e limites das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regras para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rsidRPr="00DC70B6">
              <w:rPr>
                <w:rFonts w:cstheme="minorHAnsi"/>
                <w:szCs w:val="18"/>
              </w:rPr>
              <w:t>Deliberação CONABIO n°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mencionadas.</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t>Portaria ICMBio nº 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t>Dispõe sobre a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t>Define critérios e procedimentos administrativos para a compensação pela supressão de vegetação em Unidades de Conservação administradas pelo IMA, com a finalidade de 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r>
        <w:t>Conservação da fauna e da flora</w:t>
      </w:r>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t>Aprova a viabilidade ambiental do “Rodoanel Metropolitano Mário Covas – Trecho Norte</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Alterado pelas Instruções Normativas do IBAMA nº 134/06 e nº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ameaçadas de extinção as espécies da flora brasileira constantes da 'Lista Nacional Oficial de Espécies da Flora Ameaçadas de Extinção' e estabelece a referida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rPr>
                <w:rFonts w:cstheme="minorHAnsi"/>
                <w:szCs w:val="18"/>
              </w:rPr>
              <w:t>Dispõe sobre a compensação pelo uso de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t>Resolução CONAMA nº 002/1986</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rsidRPr="00DC70B6">
              <w:rPr>
                <w:rFonts w:cstheme="minorHAnsi"/>
                <w:sz w:val="20"/>
              </w:rPr>
              <w:t>Declara o uso das atribuições que lhe são conferidas pela Lei no.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do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r>
        <w:t>Janeiro de 1998</w:t>
      </w:r>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Criação do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t>Institui a Divisão Hidrográfica Nacional (DHN).</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 em andamento</w:t>
            </w:r>
          </w:p>
          <w:p w14:paraId="3FCC8BCB" w14:textId="77777777" w:rsidR="00E36352" w:rsidRPr="004C1A0A" w:rsidRDefault="00E36352" w:rsidP="00E36352">
            <w:pPr>
              <w:spacing w:before="0" w:after="0"/>
              <w:jc w:val="left"/>
              <w:rPr>
                <w:rFonts w:cstheme="minorHAnsi"/>
                <w:szCs w:val="18"/>
              </w:rPr>
            </w:pPr>
            <w:r>
              <w:t>de licença de instalação anteriores a 02 de janeiro de &lt;ano não especificado&gt;</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Estabelece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r>
        <w:t>Quadro 5.1-9: Legislação sobre poluição do solo e efluentes líquidos aplicável ao empreendimento.</w:t>
      </w:r>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das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serem adotados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t>Dispõe sobre a emissão do **Laudo de Avaliação do Potencial Malarígeno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rsidRPr="00F34211">
              <w:rPr>
                <w:rFonts w:cstheme="minorHAnsi"/>
                <w:szCs w:val="18"/>
              </w:rPr>
              <w:t>Resolução Normativa da ANEEL n</w:t>
            </w:r>
            <w:r w:rsidRPr="00F34211">
              <w:rPr>
                <w:rFonts w:cstheme="minorHAnsi"/>
                <w:szCs w:val="18"/>
                <w:u w:val="single"/>
                <w:vertAlign w:val="superscript"/>
              </w:rPr>
              <w:t>o</w:t>
            </w:r>
            <w:r w:rsidRPr="00F34211">
              <w:rPr>
                <w:rFonts w:cstheme="minorHAnsi"/>
                <w:szCs w:val="18"/>
              </w:rPr>
              <w:t xml:space="preserve">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rsidRPr="009E7947">
              <w:rPr>
                <w:rFonts w:cstheme="minorHAnsi"/>
                <w:szCs w:val="18"/>
              </w:rPr>
              <w:t>registro das terras ocupadas pelos remanescentes</w:t>
            </w:r>
            <w:r>
              <w:rPr>
                <w:rFonts w:cstheme="minorHAnsi"/>
                <w:szCs w:val="18"/>
              </w:rPr>
              <w:t xml:space="preserve"> </w:t>
            </w:r>
            <w:r w:rsidRPr="009E7947">
              <w:rPr>
                <w:rFonts w:cstheme="minorHAnsi"/>
                <w:szCs w:val="18"/>
              </w:rPr>
              <w:t>de comunidades dos quilombos.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rsidRPr="00271630">
              <w:rPr>
                <w:rFonts w:cstheme="minorHAnsi"/>
                <w:szCs w:val="18"/>
              </w:rPr>
              <w:t>Estabelece procedimentos administrativos que</w:t>
            </w:r>
            <w:r>
              <w:rPr>
                <w:rFonts w:cstheme="minorHAnsi"/>
                <w:szCs w:val="18"/>
              </w:rPr>
              <w:t xml:space="preserve"> </w:t>
            </w:r>
            <w:r w:rsidRPr="00271630">
              <w:rPr>
                <w:rFonts w:cstheme="minorHAnsi"/>
                <w:szCs w:val="18"/>
              </w:rPr>
              <w:t>disciplinam a atuação dos órgãos e entidades da</w:t>
            </w:r>
            <w:r>
              <w:rPr>
                <w:rFonts w:cstheme="minorHAnsi"/>
                <w:szCs w:val="18"/>
              </w:rPr>
              <w:t xml:space="preserve"> </w:t>
            </w:r>
            <w:r w:rsidRPr="00271630">
              <w:rPr>
                <w:rFonts w:cstheme="minorHAnsi"/>
                <w:szCs w:val="18"/>
              </w:rPr>
              <w:t>administração pública federal em processos de</w:t>
            </w:r>
          </w:p>
          <w:p w14:paraId="0CD8ED3B" w14:textId="14606BBC" w:rsidR="001C6728" w:rsidRPr="00F34211" w:rsidRDefault="00271630" w:rsidP="00271630">
            <w:pPr>
              <w:spacing w:before="0" w:after="0"/>
              <w:jc w:val="left"/>
              <w:rPr>
                <w:rFonts w:cstheme="minorHAnsi"/>
                <w:szCs w:val="18"/>
              </w:rPr>
            </w:pPr>
            <w:r w:rsidRPr="00271630">
              <w:rPr>
                <w:rFonts w:cstheme="minorHAnsi"/>
                <w:szCs w:val="18"/>
              </w:rPr>
              <w:t>licenciamento ambiental de competência do</w:t>
            </w:r>
            <w:r>
              <w:rPr>
                <w:rFonts w:cstheme="minorHAnsi"/>
                <w:szCs w:val="18"/>
              </w:rPr>
              <w:t xml:space="preserve"> </w:t>
            </w:r>
            <w:r w:rsidRPr="00271630">
              <w:rPr>
                <w:rFonts w:cstheme="minorHAnsi"/>
                <w:szCs w:val="18"/>
              </w:rPr>
              <w:t>Instituto Brasileiro do Meio Ambiente e dos</w:t>
            </w:r>
            <w:r>
              <w:rPr>
                <w:rFonts w:cstheme="minorHAnsi"/>
                <w:szCs w:val="18"/>
              </w:rPr>
              <w:t xml:space="preserve"> </w:t>
            </w:r>
            <w:r w:rsidRPr="00271630">
              <w:rPr>
                <w:rFonts w:cstheme="minorHAnsi"/>
                <w:szCs w:val="18"/>
              </w:rPr>
              <w:t>Recursos Naturais Renováveis-IBAMA.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por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Vargem de dezembro de 1995.</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março/2020.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diversas legislações e normativas técnicas pertinentes nos níveis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t>Decreto-Lei n°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t>Fixa as condições exigíveis para cordoalhas de sete fios de aço zincado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poços e trincheiras, bem como os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Estabelece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Estabelece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rsidRPr="00DF7244">
              <w:rPr>
                <w:rFonts w:cstheme="minorHAnsi"/>
                <w:szCs w:val="18"/>
              </w:rPr>
              <w:t>Estabelece normas para outorga e prorrogações das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t>Fixa as condições exigíveis para a coleta, o acondicionamento e o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nº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rsidRPr="00DF7244">
              <w:rPr>
                <w:rFonts w:cstheme="minorHAnsi"/>
                <w:szCs w:val="18"/>
              </w:rPr>
              <w:t>Resolução ANEEL n°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t>Estabelece os requisitos necessários para a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rsidRPr="00DF7244">
              <w:rPr>
                <w:rFonts w:cstheme="minorHAnsi"/>
                <w:szCs w:val="18"/>
              </w:rPr>
              <w:t xml:space="preserve">Prescreve o método de verificação do poder </w:t>
            </w:r>
            <w:proofErr w:type="spellStart"/>
            <w:r w:rsidRPr="00DF7244">
              <w:rPr>
                <w:rFonts w:cstheme="minorHAnsi"/>
                <w:szCs w:val="18"/>
              </w:rPr>
              <w:t>desaguante</w:t>
            </w:r>
            <w:proofErr w:type="spellEnd"/>
            <w:r w:rsidRPr="00DF7244">
              <w:rPr>
                <w:rFonts w:cstheme="minorHAnsi"/>
                <w:szCs w:val="18"/>
              </w:rPr>
              <w:t xml:space="preserve"> de protetivos temporários contra corrosão sobre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recomposição tarifária extraordinária; cria o Programa de Incentivo às Fontes Alternativas de Energia Elétrica (Proinfa) e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rsidRPr="00DF7244">
              <w:rPr>
                <w:rFonts w:cstheme="minorHAnsi"/>
                <w:szCs w:val="18"/>
              </w:rPr>
              <w:t>Resolução ANEEL n°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t>Regulamenta os arts.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e o processo de outorga de concessões e autorizações para geração de energia elétrica. Foi alterado pelos Decretos nº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relativos a um sistema da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a prorrogação das concessões de uso do bem público dos empreendimentos de geração de energia elétrica conforme o art. 17 da Lei 10.848/04. Altera o Decreto 5.163/04, o qual foi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Fixa os requisitos exigíveis para verificação da segurança das estruturas usuais da construção civil em relação às ações de sismos e aos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rsidRPr="00DF7244">
              <w:rPr>
                <w:rFonts w:cstheme="minorHAnsi"/>
                <w:szCs w:val="18"/>
              </w:rPr>
              <w:t>Resolução ANEEL n°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e assistência técnica,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do Sistema de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no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t>Resolução Normativa nº 279/ANEEL</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10.848/2004, altera o art. 44 do Decreto nº 5.163/2004 e o art. 2º do Decreto nº 5.177/2004.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fabricação, qualificação, aceitação e/ou recebimento de cabos de alumínio nus (CA), empregados para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nº 9.074/1995, nº 9.427/1996 e nº 10.848/2004; revoga dispositivos da Lei nº 9.648/1998. Regulamentada pelo Decreto nº 7.246/2010.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t>Estabelecem-se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t>Define os termos relacionados às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t>Vínculos das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rsidRPr="00DF7244">
              <w:rPr>
                <w:rFonts w:cstheme="minorHAnsi"/>
                <w:szCs w:val="18"/>
              </w:rPr>
              <w:t>Define termos relacionados a isoladores para sistemas de potência, não sendo necessariamente aplicável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t>Regulamenta a Medida Provisória nº 579/12, convertida na Lei nº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garantindo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copilhas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t>Altera o Decreto nº 5.163, de 30 de julho de 2004, que regulamenta a comercialização de energia elétrica, bem como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rsidRPr="00DF7244">
              <w:rPr>
                <w:rFonts w:cstheme="minorHAnsi"/>
                <w:szCs w:val="18"/>
              </w:rPr>
              <w:t>Especifica os isoladores para linhas aéreas com tensões acima de 1000 V; isoladores de porcelana ou vidro para linhas aéreas e subestações de alta.</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