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rPr>
          <w:rFonts w:asciiTheme="majorHAnsi" w:eastAsiaTheme="minorEastAsia" w:hAnsiTheme="majorHAnsi" w:cstheme="majorHAnsi"/>
          <w:caps w:val="0"/>
        </w:rPr>
        <w:fldChar w:fldCharType="begin"/>
      </w:r>
      <w:r>
        <w:rPr>
          <w:rFonts w:asciiTheme="majorHAnsi" w:eastAsiaTheme="minorEastAsia" w:hAnsiTheme="majorHAnsi" w:cstheme="majorHAnsi"/>
          <w:caps w:val="0"/>
        </w:rPr>
        <w:instrText xml:space="preserve"> TOC \o "1-3" \h \z \u </w:instrText>
      </w:r>
      <w:r>
        <w:rPr>
          <w:rFonts w:asciiTheme="majorHAnsi" w:eastAsiaTheme="minorEastAsia" w:hAnsiTheme="majorHAnsi" w:cstheme="majorHAnsi"/>
          <w:caps w:val="0"/>
        </w:rPr>
        <w:fldChar w:fldCharType="separate"/>
      </w:r>
      <w:hyperlink w:anchor="_Toc187844990" w:history="1">
        <w:r w:rsidR="00C34971" w:rsidRPr="009F129C">
          <w:rPr>
            <w:rStyle w:val="Hyperlink"/>
            <w:noProof/>
          </w:rPr>
          <w:t>5</w:t>
        </w:r>
        <w:r w:rsidR="00C34971">
          <w:rPr>
            <w:rFonts w:asciiTheme="minorHAnsi" w:eastAsiaTheme="minorEastAsia" w:hAnsiTheme="minorHAnsi" w:cstheme="minorBidi"/>
            <w:b w:val="0"/>
            <w:bCs w:val="0"/>
            <w:caps w:val="0"/>
            <w:noProof/>
            <w:kern w:val="2"/>
            <w:sz w:val="24"/>
            <w:szCs w:val="24"/>
            <w:lang w:eastAsia="pt-BR"/>
            <w14:ligatures w14:val="standardContextual"/>
          </w:rPr>
          <w:tab/>
        </w:r>
        <w:r w:rsidR="00C34971" w:rsidRPr="009F129C">
          <w:rPr>
            <w:rStyle w:val="Hyperlink"/>
            <w:noProof/>
          </w:rPr>
          <w:t>LEGISLAÇÃO PERTINENTE</w:t>
        </w:r>
        <w:r w:rsidR="00C34971">
          <w:rPr>
            <w:noProof/>
            <w:webHidden/>
          </w:rPr>
          <w:tab/>
        </w:r>
        <w:r w:rsidR="00C34971">
          <w:rPr>
            <w:noProof/>
            <w:webHidden/>
          </w:rPr>
          <w:fldChar w:fldCharType="begin"/>
        </w:r>
        <w:r w:rsidR="00C34971">
          <w:rPr>
            <w:noProof/>
            <w:webHidden/>
          </w:rPr>
          <w:instrText xml:space="preserve"> PAGEREF _Toc187844990 \h </w:instrText>
        </w:r>
        <w:r w:rsidR="00C34971">
          <w:rPr>
            <w:noProof/>
            <w:webHidden/>
          </w:rPr>
        </w:r>
        <w:r w:rsidR="00C34971">
          <w:rPr>
            <w:noProof/>
            <w:webHidden/>
          </w:rPr>
          <w:fldChar w:fldCharType="separate"/>
        </w:r>
        <w:r w:rsidR="00C34971">
          <w:rPr>
            <w:noProof/>
            <w:webHidden/>
          </w:rPr>
          <w:t>4</w:t>
        </w:r>
        <w:r w:rsidR="00C34971">
          <w:rPr>
            <w:noProof/>
            <w:webHidden/>
          </w:rPr>
          <w:fldChar w:fldCharType="end"/>
        </w:r>
      </w:hyperlink>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4991" w:history="1">
        <w:r w:rsidRPr="009F129C">
          <w:rPr>
            <w:rStyle w:val="Hyperlink"/>
          </w:rPr>
          <w:t>5.1</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Ambiental Aplicável ao Empreendimento</w:t>
        </w:r>
        <w:r>
          <w:rPr>
            <w:webHidden/>
          </w:rPr>
          <w:tab/>
        </w:r>
        <w:r>
          <w:rPr>
            <w:webHidden/>
          </w:rPr>
          <w:fldChar w:fldCharType="begin"/>
        </w:r>
        <w:r>
          <w:rPr>
            <w:webHidden/>
          </w:rPr>
          <w:instrText xml:space="preserve"> PAGEREF _Toc187844991 \h </w:instrText>
        </w:r>
        <w:r>
          <w:rPr>
            <w:webHidden/>
          </w:rPr>
        </w:r>
        <w:r>
          <w:rPr>
            <w:webHidden/>
          </w:rPr>
          <w:fldChar w:fldCharType="separate"/>
        </w:r>
        <w:r>
          <w:rPr>
            <w:webHidden/>
          </w:rPr>
          <w:t>6</w:t>
        </w:r>
        <w:r>
          <w:rPr>
            <w:webHidden/>
          </w:rPr>
          <w:fldChar w:fldCharType="end"/>
        </w:r>
      </w:hyperlink>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2" w:history="1">
        <w:r w:rsidRPr="009F129C">
          <w:rPr>
            <w:rStyle w:val="Hyperlink"/>
            <w:noProof/>
          </w:rPr>
          <w:t>5.1.1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Políticas e licenciamento ambiental</w:t>
        </w:r>
        <w:r>
          <w:rPr>
            <w:noProof/>
            <w:webHidden/>
          </w:rPr>
          <w:tab/>
        </w:r>
        <w:r>
          <w:rPr>
            <w:noProof/>
            <w:webHidden/>
          </w:rPr>
          <w:fldChar w:fldCharType="begin"/>
        </w:r>
        <w:r>
          <w:rPr>
            <w:noProof/>
            <w:webHidden/>
          </w:rPr>
          <w:instrText xml:space="preserve"> PAGEREF _Toc187844992 \h </w:instrText>
        </w:r>
        <w:r>
          <w:rPr>
            <w:noProof/>
            <w:webHidden/>
          </w:rPr>
        </w:r>
        <w:r>
          <w:rPr>
            <w:noProof/>
            <w:webHidden/>
          </w:rPr>
          <w:fldChar w:fldCharType="separate"/>
        </w:r>
        <w:r>
          <w:rPr>
            <w:noProof/>
            <w:webHidden/>
          </w:rPr>
          <w:t>7</w:t>
        </w:r>
        <w:r>
          <w:rPr>
            <w:noProof/>
            <w:webHidden/>
          </w:rPr>
          <w:fldChar w:fldCharType="end"/>
        </w:r>
      </w:hyperlink>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4" w:history="1">
        <w:r w:rsidRPr="009F129C">
          <w:rPr>
            <w:rStyle w:val="Hyperlink"/>
            <w:noProof/>
          </w:rPr>
          <w:t>5.1.3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Unidades de Conservação e outras áreas protegidas, e intervenções legalmente autorizadas</w:t>
        </w:r>
        <w:r>
          <w:rPr>
            <w:noProof/>
            <w:webHidden/>
          </w:rPr>
          <w:tab/>
        </w:r>
        <w:r>
          <w:rPr>
            <w:noProof/>
            <w:webHidden/>
          </w:rPr>
          <w:fldChar w:fldCharType="begin"/>
        </w:r>
        <w:r>
          <w:rPr>
            <w:noProof/>
            <w:webHidden/>
          </w:rPr>
          <w:instrText xml:space="preserve"> PAGEREF _Toc187844994 \h </w:instrText>
        </w:r>
        <w:r>
          <w:rPr>
            <w:noProof/>
            <w:webHidden/>
          </w:rPr>
        </w:r>
        <w:r>
          <w:rPr>
            <w:noProof/>
            <w:webHidden/>
          </w:rPr>
          <w:fldChar w:fldCharType="separate"/>
        </w:r>
        <w:r>
          <w:rPr>
            <w:noProof/>
            <w:webHidden/>
          </w:rPr>
          <w:t>10</w:t>
        </w:r>
        <w:r>
          <w:rPr>
            <w:noProof/>
            <w:webHidden/>
          </w:rPr>
          <w:fldChar w:fldCharType="end"/>
        </w:r>
      </w:hyperlink>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5" w:history="1">
        <w:r w:rsidRPr="009F129C">
          <w:rPr>
            <w:rStyle w:val="Hyperlink"/>
            <w:noProof/>
          </w:rPr>
          <w:t>5.1.4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Conservação de fauna e flora</w:t>
        </w:r>
        <w:r>
          <w:rPr>
            <w:noProof/>
            <w:webHidden/>
          </w:rPr>
          <w:tab/>
        </w:r>
        <w:r>
          <w:rPr>
            <w:noProof/>
            <w:webHidden/>
          </w:rPr>
          <w:fldChar w:fldCharType="begin"/>
        </w:r>
        <w:r>
          <w:rPr>
            <w:noProof/>
            <w:webHidden/>
          </w:rPr>
          <w:instrText xml:space="preserve"> PAGEREF _Toc187844995 \h </w:instrText>
        </w:r>
        <w:r>
          <w:rPr>
            <w:noProof/>
            <w:webHidden/>
          </w:rPr>
        </w:r>
        <w:r>
          <w:rPr>
            <w:noProof/>
            <w:webHidden/>
          </w:rPr>
          <w:fldChar w:fldCharType="separate"/>
        </w:r>
        <w:r>
          <w:rPr>
            <w:noProof/>
            <w:webHidden/>
          </w:rPr>
          <w:t>11</w:t>
        </w:r>
        <w:r>
          <w:rPr>
            <w:noProof/>
            <w:webHidden/>
          </w:rPr>
          <w:fldChar w:fldCharType="end"/>
        </w:r>
      </w:hyperlink>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8" w:history="1">
        <w:r w:rsidRPr="009F129C">
          <w:rPr>
            <w:rStyle w:val="Hyperlink"/>
            <w:noProof/>
          </w:rPr>
          <w:t>5.1.7</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Emissões Atmosféricas</w:t>
        </w:r>
        <w:r>
          <w:rPr>
            <w:noProof/>
            <w:webHidden/>
          </w:rPr>
          <w:tab/>
        </w:r>
        <w:r>
          <w:rPr>
            <w:noProof/>
            <w:webHidden/>
          </w:rPr>
          <w:fldChar w:fldCharType="begin"/>
        </w:r>
        <w:r>
          <w:rPr>
            <w:noProof/>
            <w:webHidden/>
          </w:rPr>
          <w:instrText xml:space="preserve"> PAGEREF _Toc187844998 \h </w:instrText>
        </w:r>
        <w:r>
          <w:rPr>
            <w:noProof/>
            <w:webHidden/>
          </w:rPr>
        </w:r>
        <w:r>
          <w:rPr>
            <w:noProof/>
            <w:webHidden/>
          </w:rPr>
          <w:fldChar w:fldCharType="separate"/>
        </w:r>
        <w:r>
          <w:rPr>
            <w:noProof/>
            <w:webHidden/>
          </w:rPr>
          <w:t>15</w:t>
        </w:r>
        <w:r>
          <w:rPr>
            <w:noProof/>
            <w:webHidden/>
          </w:rPr>
          <w:fldChar w:fldCharType="end"/>
        </w:r>
      </w:hyperlink>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0" w:history="1">
        <w:r w:rsidRPr="009F129C">
          <w:rPr>
            <w:rStyle w:val="Hyperlink"/>
            <w:noProof/>
          </w:rPr>
          <w:t>5.1.9</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Poluição do solo e Efluentes Líquidos</w:t>
        </w:r>
        <w:r>
          <w:rPr>
            <w:noProof/>
            <w:webHidden/>
          </w:rPr>
          <w:tab/>
        </w:r>
        <w:r>
          <w:rPr>
            <w:noProof/>
            <w:webHidden/>
          </w:rPr>
          <w:fldChar w:fldCharType="begin"/>
        </w:r>
        <w:r>
          <w:rPr>
            <w:noProof/>
            <w:webHidden/>
          </w:rPr>
          <w:instrText xml:space="preserve"> PAGEREF _Toc187845000 \h </w:instrText>
        </w:r>
        <w:r>
          <w:rPr>
            <w:noProof/>
            <w:webHidden/>
          </w:rPr>
        </w:r>
        <w:r>
          <w:rPr>
            <w:noProof/>
            <w:webHidden/>
          </w:rPr>
          <w:fldChar w:fldCharType="separate"/>
        </w:r>
        <w:r>
          <w:rPr>
            <w:noProof/>
            <w:webHidden/>
          </w:rPr>
          <w:t>16</w:t>
        </w:r>
        <w:r>
          <w:rPr>
            <w:noProof/>
            <w:webHidden/>
          </w:rPr>
          <w:fldChar w:fldCharType="end"/>
        </w:r>
      </w:hyperlink>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5.1.10 Resíduos Sólidos 16</w:t>
      </w:r>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3" w:history="1">
        <w:r w:rsidRPr="009F129C">
          <w:rPr>
            <w:rStyle w:val="Hyperlink"/>
            <w:noProof/>
          </w:rPr>
          <w:t>5.1.12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Comunidades Indígenas, quilombolas, pesqueiras e outras tradicionais</w:t>
        </w:r>
        <w:r>
          <w:rPr>
            <w:noProof/>
            <w:webHidden/>
          </w:rPr>
          <w:tab/>
        </w:r>
        <w:r>
          <w:rPr>
            <w:noProof/>
            <w:webHidden/>
          </w:rPr>
          <w:fldChar w:fldCharType="begin"/>
        </w:r>
        <w:r>
          <w:rPr>
            <w:noProof/>
            <w:webHidden/>
          </w:rPr>
          <w:instrText xml:space="preserve"> PAGEREF _Toc187845003 \h </w:instrText>
        </w:r>
        <w:r>
          <w:rPr>
            <w:noProof/>
            <w:webHidden/>
          </w:rPr>
        </w:r>
        <w:r>
          <w:rPr>
            <w:noProof/>
            <w:webHidden/>
          </w:rPr>
          <w:fldChar w:fldCharType="separate"/>
        </w:r>
        <w:r>
          <w:rPr>
            <w:noProof/>
            <w:webHidden/>
          </w:rPr>
          <w:t>17</w:t>
        </w:r>
        <w:r>
          <w:rPr>
            <w:noProof/>
            <w:webHidden/>
          </w:rPr>
          <w:fldChar w:fldCharType="end"/>
        </w:r>
      </w:hyperlink>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4" w:history="1">
        <w:r w:rsidRPr="009F129C">
          <w:rPr>
            <w:rStyle w:val="Hyperlink"/>
            <w:noProof/>
          </w:rPr>
          <w:t>5.1.13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Patrimônio Cultural, Artístico, Histórico e Arqueológico</w:t>
        </w:r>
        <w:r>
          <w:rPr>
            <w:noProof/>
            <w:webHidden/>
          </w:rPr>
          <w:tab/>
        </w:r>
        <w:r>
          <w:rPr>
            <w:noProof/>
            <w:webHidden/>
          </w:rPr>
          <w:fldChar w:fldCharType="begin"/>
        </w:r>
        <w:r>
          <w:rPr>
            <w:noProof/>
            <w:webHidden/>
          </w:rPr>
          <w:instrText xml:space="preserve"> PAGEREF _Toc187845004 \h </w:instrText>
        </w:r>
        <w:r>
          <w:rPr>
            <w:noProof/>
            <w:webHidden/>
          </w:rPr>
        </w:r>
        <w:r>
          <w:rPr>
            <w:noProof/>
            <w:webHidden/>
          </w:rPr>
          <w:fldChar w:fldCharType="separate"/>
        </w:r>
        <w:r>
          <w:rPr>
            <w:noProof/>
            <w:webHidden/>
          </w:rPr>
          <w:t>17</w:t>
        </w:r>
        <w:r>
          <w:rPr>
            <w:noProof/>
            <w:webHidden/>
          </w:rPr>
          <w:fldChar w:fldCharType="end"/>
        </w:r>
      </w:hyperlink>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5" w:history="1">
        <w:r w:rsidRPr="009F129C">
          <w:rPr>
            <w:rStyle w:val="Hyperlink"/>
            <w:noProof/>
          </w:rPr>
          <w:t>5.1.14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Legislação Municipal</w:t>
        </w:r>
        <w:r>
          <w:rPr>
            <w:noProof/>
            <w:webHidden/>
          </w:rPr>
          <w:tab/>
        </w:r>
        <w:r>
          <w:rPr>
            <w:noProof/>
            <w:webHidden/>
          </w:rPr>
          <w:fldChar w:fldCharType="begin"/>
        </w:r>
        <w:r>
          <w:rPr>
            <w:noProof/>
            <w:webHidden/>
          </w:rPr>
          <w:instrText xml:space="preserve"> PAGEREF _Toc187845005 \h </w:instrText>
        </w:r>
        <w:r>
          <w:rPr>
            <w:noProof/>
            <w:webHidden/>
          </w:rPr>
        </w:r>
        <w:r>
          <w:rPr>
            <w:noProof/>
            <w:webHidden/>
          </w:rPr>
          <w:fldChar w:fldCharType="separate"/>
        </w:r>
        <w:r>
          <w:rPr>
            <w:noProof/>
            <w:webHidden/>
          </w:rPr>
          <w:t>18</w:t>
        </w:r>
        <w:r>
          <w:rPr>
            <w:noProof/>
            <w:webHidden/>
          </w:rPr>
          <w:fldChar w:fldCharType="end"/>
        </w:r>
      </w:hyperlink>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bookmarkStart w:id="1" w:name="_Toc496806845"/>
      <w:r w:rsidRPr="000D1940">
        <w:t xml:space="preserve">Este Capítulo apresenta uma descrição da legislação ambiental e técnica aplicável ao projeto de </w:t>
      </w:r>
      <w:r w:rsidR="00E065B0">
        <w:t>licenciamento</w:t>
      </w:r>
      <w:r w:rsidRPr="000D1940">
        <w:t xml:space="preserve"> da LT 525 kV </w:t>
      </w:r>
      <w:r w:rsidR="00E065B0">
        <w:t>Ab</w:t>
      </w:r>
      <w:r w:rsidR="00590279">
        <w:t>don Batista 2 – Curitiba Oeste e Subestação Curitiba Oeste.</w:t>
      </w:r>
      <w:r w:rsidRPr="000D1940">
        <w:t xml:space="preserve"> A análise tem como finalidade subsidiar o órgão ambiental competente no processo de licenciamento ambiental e o empreendedor em suas tomadas de decisão por meio de um referencial básico que ajude na compreensão do meio ambiente e dos objetivos desse EIA, bem como os aspectos jurídicos relacionados à construção e operação do </w:t>
      </w:r>
      <w:r w:rsidR="00C621FD">
        <w:t>empreendimento</w:t>
      </w:r>
      <w:r w:rsidRPr="000D1940">
        <w:t xml:space="preserve">. </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rsidRPr="000D1940">
        <w:rPr>
          <w:lang w:eastAsia="pt-BR"/>
        </w:rP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Este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forem caracterizadas situações que comprometam a continuidade e a segurança do suprimento eletroenergético, reconhecidas pelo Comitê de Monitoramento do Setor Elétrico – CMSE, ou a necessidade de sistemas de transmissão de energia elétrica associados a empreendimentos estratégicos, indicada pelo Conselho Nacional de Política Energética – CNPE.</w:t>
      </w:r>
    </w:p>
    <w:p w14:paraId="063D0802" w14:textId="4120F6F7" w:rsidR="00FF3ECE" w:rsidRDefault="00FF3ECE" w:rsidP="00FF3ECE">
      <w:pPr>
        <w:rPr>
          <w:lang w:eastAsia="pt-BR"/>
        </w:rPr>
      </w:pPr>
      <w:r>
        <w:t>A Lei Complementar nº 140, de 8 de dezembro de 2011, indica a esfera de licenciamento (federal, estadual e municipal) dependendo da localização do empreendimento. A competência do licenciamento ambiental da LT 525 kV Abdon Batista 2 – Curitiba Oeste e Subestação Curitiba Oeste, inicialmente, se enquadra como de competência federal, visto que o empreendimento está localizado em dois ou mais estados, conforme Art. 7º da referida Lei.</w:t>
      </w:r>
    </w:p>
    <w:p w14:paraId="371A6B22" w14:textId="621A9C94" w:rsidR="00EF761D" w:rsidRPr="000D1940" w:rsidRDefault="00EF761D" w:rsidP="00FF3ECE">
      <w:pPr>
        <w:rPr>
          <w:lang w:eastAsia="pt-BR"/>
        </w:rPr>
      </w:pPr>
      <w:r>
        <w:t>No entanto, a Graúna Transmissora de Energia S.A., por meio da Carta CE-STEP-TO-0006-V.1, solicitou ao IBAMA uma análise sobre a possibilidade de delegação de competência, à luz da Instrução Normativa 8/2019, visto que o empreendimento se localiza principalmente no estado de Santa Catarina. Nesse contexto, o IBAMA delegou ao IMA/SC em XXXXX, por meio do Ofício XXXX, o licenciamento ambiental da LT 525 kV Abdon Batista 2 – Curitiba Oeste e Subestação Curitiba Oeste.</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 11.428/06), faz-se necessário adotar o procedimento ordinário de licenciamento ambiental, ou seja, elaborar o Estudo de Impacto Ambiental e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r>
        <w:t>A solicitação de abertura de processo, com o objetivo de licenciar ou regularizar empreendimento junto ao IMA, deverá ser feita exclusivamente por meio do endereço eletrônico dos Serviços On-line de Licenciamento Ambiental (SinFAT Web). O empreendedor deve cumprir cinco etapas, que são:</w:t>
      </w:r>
    </w:p>
    <w:p w14:paraId="435B4C6E" w14:textId="77777777" w:rsidR="00FF3ECE" w:rsidRPr="000D1940" w:rsidRDefault="00FF3ECE" w:rsidP="00FF3ECE">
      <w:pPr>
        <w:pStyle w:val="PargrafodaLista"/>
        <w:numPr>
          <w:ilvl w:val="0"/>
          <w:numId w:val="20"/>
        </w:numPr>
        <w:rPr>
          <w:lang w:eastAsia="pt-BR"/>
        </w:rPr>
      </w:pPr>
      <w: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de Formulário de Caracterização do Empreendimento Integrado (FCEI), Documento de Arrecadação de Receitas Estaduais (DARE) e Instrução Normativa (IN).</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t>A abertura do número do processo de licenciamento no IMA só ocorre após a conclusão das cinco etapas iniciais e a entrega do EIA, juntamente com as certidões de conformidade de uso e ocupação do solo de cada prefeitura municipal que o empreendimento intercepta.</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estão separados por meio de quadros, distinguindo a legislação quanto à esfera (federal ou estadual), o instrumento (número da legislação), a data do instrumento e uma breve explicação da legislação. Os tópicos são organizados conforme solicitado pelo Termo de Referência - TR nº.</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t>Resolução CONAMA nº 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rsidRPr="0049732B">
              <w:rPr>
                <w:rFonts w:cstheme="minorHAnsi"/>
                <w:szCs w:val="18"/>
              </w:rPr>
              <w:t>Resolução CONAMA n°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rsidRPr="0049732B">
              <w:rPr>
                <w:rFonts w:cstheme="minorHAnsi"/>
                <w:szCs w:val="18"/>
              </w:rPr>
              <w:t>Define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alterando a Resolução CONAMA nº 1/86 e revogando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rsidRPr="0049732B">
              <w:rPr>
                <w:rFonts w:cstheme="minorHAnsi"/>
                <w:szCs w:val="18"/>
              </w:rPr>
              <w:t>Instrução Normativa IMA n°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e estabelece critérios para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rsidRPr="0049732B">
              <w:rPr>
                <w:rFonts w:cstheme="minorHAnsi"/>
                <w:szCs w:val="18"/>
              </w:rP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rsidRPr="0049732B">
              <w:rPr>
                <w:rFonts w:cstheme="minorHAnsi"/>
                <w:szCs w:val="18"/>
              </w:rPr>
              <w:t>Estabelece sobre a emissão de autorizações de captura, coleta e transporte de material biológico para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rsidRPr="0049732B">
              <w:rPr>
                <w:rFonts w:cstheme="minorHAnsi"/>
                <w:szCs w:val="18"/>
              </w:rPr>
              <w:t>Instrução Normativa IBAMA n</w:t>
            </w:r>
            <w:r w:rsidRPr="0049732B">
              <w:rPr>
                <w:rFonts w:cstheme="minorHAnsi"/>
                <w:szCs w:val="18"/>
                <w:u w:val="single"/>
                <w:vertAlign w:val="superscript"/>
              </w:rPr>
              <w:t>o</w:t>
            </w:r>
            <w:r w:rsidRPr="0049732B">
              <w:rPr>
                <w:rFonts w:cstheme="minorHAnsi"/>
                <w:szCs w:val="18"/>
              </w:rPr>
              <w:t xml:space="preserve">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acrescenta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t>Lei Complementar nº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visando à cooperação entre a União, os Estados, o Distrito Federal e os Municípios nas ações administrativas decorrentes do exercício da competência comum, relativas à proteção das paisagens naturais notáveis, à proteção do meio ambiente, ao combate à poluição em qualquer de suas formas e à preservação das florestas, da fauna e da flora. Em seu Art. 2º, conceitua o termo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rsidRPr="0049732B">
              <w:rPr>
                <w:rFonts w:cstheme="minorHAnsi"/>
                <w:szCs w:val="18"/>
              </w:rPr>
              <w:t>Instrução Normativa IBAMA n</w:t>
            </w:r>
            <w:r w:rsidRPr="0049732B">
              <w:rPr>
                <w:rFonts w:cstheme="minorHAnsi"/>
                <w:szCs w:val="18"/>
                <w:u w:val="single"/>
                <w:vertAlign w:val="superscript"/>
              </w:rPr>
              <w:t>o</w:t>
            </w:r>
            <w:r w:rsidRPr="0049732B">
              <w:rPr>
                <w:rFonts w:cstheme="minorHAnsi"/>
                <w:szCs w:val="18"/>
              </w:rPr>
              <w:t xml:space="preserve">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visando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 10.438, de 26 de abril de 2002, nº 12.111, de 9 de dezembro de 2009, nº 9.648, de 27 de maio de 1998, nº 9.427, de 26 de dezembro de 1996, e nº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rsidRPr="0049732B">
              <w:rPr>
                <w:rFonts w:cstheme="minorHAnsi"/>
                <w:szCs w:val="18"/>
              </w:rPr>
              <w:t>Altera os dispositivos da Lei Estadual n°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para as obras públicas em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rsidRPr="0049732B">
              <w:rPr>
                <w:rFonts w:cstheme="minorHAnsi"/>
                <w:szCs w:val="18"/>
              </w:rP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rsidRPr="0049732B">
              <w:rPr>
                <w:rFonts w:cstheme="minorHAnsi"/>
                <w:szCs w:val="18"/>
              </w:rPr>
              <w:t>Dispõe sobre a criação do Instituto do Meio Ambiente do Estado de Santa Catarina (IMA) e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rsidRPr="0049732B">
              <w:rPr>
                <w:rFonts w:cstheme="minorHAnsi"/>
                <w:szCs w:val="18"/>
              </w:rPr>
              <w:t>Instrução Normativa IMA n°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t>Portaria IMA n.º 68</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t>Disciplina o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t>Estabelece os procedimentos para apuração de infrações administrativas ambientais por condutas e atividades lesivas ao meio ambiente, instrumentalizados mediante o devido processo legal, pelo qual serão apuradas as responsabilidades por infrações ambientais, com imposição de sanções, defesa, sistema recursal e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w:t>
            </w:r>
            <w:r w:rsidRPr="0049732B">
              <w:rPr>
                <w:rFonts w:cstheme="minorHAnsi"/>
                <w:szCs w:val="18"/>
              </w:rPr>
              <w:t xml:space="preserve"> </w:t>
            </w:r>
            <w:r w:rsidRPr="0049732B">
              <w:rPr>
                <w:rFonts w:cstheme="minorHAnsi"/>
                <w:szCs w:val="18"/>
              </w:rPr>
              <w:t>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rsidRPr="0049732B">
              <w:rPr>
                <w:rFonts w:cstheme="minorHAnsi"/>
                <w:szCs w:val="18"/>
              </w:rP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rsidRPr="0049732B">
              <w:rPr>
                <w:rFonts w:cstheme="minorHAnsi"/>
                <w:szCs w:val="18"/>
              </w:rPr>
              <w:t>2019, e atualiza o rol de ocupações,</w:t>
            </w:r>
            <w:r w:rsidRPr="0049732B">
              <w:rPr>
                <w:rFonts w:cstheme="minorHAnsi"/>
                <w:szCs w:val="18"/>
              </w:rPr>
              <w:t xml:space="preserve"> </w:t>
            </w:r>
            <w:r w:rsidRPr="0049732B">
              <w:rPr>
                <w:rFonts w:cstheme="minorHAnsi"/>
                <w:szCs w:val="18"/>
              </w:rPr>
              <w:t>considerando os profissionais sob fiscalização do</w:t>
            </w:r>
            <w:r w:rsidRPr="0049732B">
              <w:rPr>
                <w:rFonts w:cstheme="minorHAnsi"/>
                <w:szCs w:val="18"/>
              </w:rPr>
              <w:t xml:space="preserve"> </w:t>
            </w:r>
            <w:r w:rsidRPr="0049732B">
              <w:rPr>
                <w:rFonts w:cstheme="minorHAnsi"/>
                <w:szCs w:val="18"/>
              </w:rPr>
              <w:t>Conselho Federal dos Técnicos Agrícolas e do</w:t>
            </w:r>
            <w:r w:rsidRPr="0049732B">
              <w:rPr>
                <w:rFonts w:cstheme="minorHAnsi"/>
                <w:szCs w:val="18"/>
              </w:rPr>
              <w:t xml:space="preserve"> </w:t>
            </w:r>
            <w:r w:rsidRPr="0049732B">
              <w:rPr>
                <w:rFonts w:cstheme="minorHAnsi"/>
                <w:szCs w:val="18"/>
              </w:rPr>
              <w:t>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w:t>
            </w:r>
            <w:r w:rsidRPr="0049732B">
              <w:rPr>
                <w:rFonts w:cstheme="minorHAnsi"/>
                <w:szCs w:val="18"/>
              </w:rPr>
              <w:t xml:space="preserve"> </w:t>
            </w:r>
            <w:r w:rsidRPr="0049732B">
              <w:rPr>
                <w:rFonts w:cstheme="minorHAnsi"/>
                <w:szCs w:val="18"/>
              </w:rPr>
              <w:t>01/2022-Dilic, que consolida o tratamento</w:t>
            </w:r>
            <w:r w:rsidRPr="0049732B">
              <w:rPr>
                <w:rFonts w:cstheme="minorHAnsi"/>
                <w:szCs w:val="18"/>
              </w:rPr>
              <w:t xml:space="preserve"> </w:t>
            </w:r>
            <w:r w:rsidRPr="0049732B">
              <w:rPr>
                <w:rFonts w:cstheme="minorHAnsi"/>
                <w:szCs w:val="18"/>
              </w:rPr>
              <w:t>técnico e regulatório a ser dado ao tema de</w:t>
            </w:r>
            <w:r w:rsidRPr="0049732B">
              <w:rPr>
                <w:rFonts w:cstheme="minorHAnsi"/>
                <w:szCs w:val="18"/>
              </w:rPr>
              <w:t xml:space="preserve"> </w:t>
            </w:r>
            <w:r w:rsidRPr="0049732B">
              <w:rPr>
                <w:rFonts w:cstheme="minorHAnsi"/>
                <w:szCs w:val="18"/>
              </w:rPr>
              <w:t>abertura de picadas e trilhas no âmbito dos</w:t>
            </w:r>
            <w:r w:rsidRPr="0049732B">
              <w:rPr>
                <w:rFonts w:cstheme="minorHAnsi"/>
                <w:szCs w:val="18"/>
              </w:rPr>
              <w:t xml:space="preserve"> </w:t>
            </w:r>
            <w:r w:rsidRPr="0049732B">
              <w:rPr>
                <w:rFonts w:cstheme="minorHAnsi"/>
                <w:szCs w:val="18"/>
              </w:rPr>
              <w:t>processos de licenciamento ambiental federal,</w:t>
            </w:r>
            <w:r w:rsidRPr="0049732B">
              <w:rPr>
                <w:rFonts w:cstheme="minorHAnsi"/>
                <w:szCs w:val="18"/>
              </w:rPr>
              <w:t xml:space="preserve"> </w:t>
            </w:r>
            <w:r w:rsidRPr="0049732B">
              <w:rPr>
                <w:rFonts w:cstheme="minorHAnsi"/>
                <w:szCs w:val="18"/>
              </w:rPr>
              <w:t>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rsidRPr="0049732B">
              <w:rPr>
                <w:rFonts w:cstheme="minorHAnsi"/>
                <w:szCs w:val="18"/>
              </w:rP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t>Decreto-Lei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t>Parecer DNPM/PROGE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rsidRPr="00DC70B6">
              <w:rPr>
                <w:rFonts w:cstheme="minorHAnsi"/>
                <w:szCs w:val="18"/>
              </w:rPr>
              <w:t>Instrui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rsidRPr="00DC70B6">
              <w:rPr>
                <w:rFonts w:cstheme="minorHAnsi"/>
                <w:szCs w:val="18"/>
              </w:rP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rsidRPr="00DC70B6">
              <w:rPr>
                <w:rFonts w:cstheme="minorHAnsi"/>
                <w:szCs w:val="18"/>
              </w:rP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rsidRPr="00DC70B6">
              <w:rPr>
                <w:rFonts w:cstheme="minorHAnsi"/>
                <w:szCs w:val="18"/>
              </w:rPr>
              <w:t>Resolução Normativa da Aneel n</w:t>
            </w:r>
            <w:r w:rsidRPr="00DC70B6">
              <w:rPr>
                <w:rFonts w:cstheme="minorHAnsi"/>
                <w:szCs w:val="18"/>
                <w:u w:val="single"/>
                <w:vertAlign w:val="superscript"/>
              </w:rPr>
              <w:t>o</w:t>
            </w:r>
            <w:r w:rsidRPr="00DC70B6">
              <w:rPr>
                <w:rFonts w:cstheme="minorHAnsi"/>
                <w:szCs w:val="18"/>
              </w:rPr>
              <w:t xml:space="preserve"> </w:t>
            </w:r>
            <w:r>
              <w:rPr>
                <w:rFonts w:cstheme="minorHAnsi"/>
                <w:szCs w:val="18"/>
              </w:rPr>
              <w:t>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rsidRPr="00DA65F6">
              <w:rPr>
                <w:rFonts w:cstheme="minorHAnsi"/>
                <w:szCs w:val="18"/>
              </w:rPr>
              <w:t>Estabelece os procedimentos gerais para requerimento de Declaração de Utilidade Pública - DUP, de áreas de terra necessárias à implantação de instalações de geração e de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e outras áreas protegidas, além de intervenções legalmente autorizadas.</w:t>
      </w:r>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t>Decreto nº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a Floresta Nacional de Ibirama, no Estado de Santa Catarina, e dá outras providências </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t>Dispõe sobre o uso das cavidades subterrâneas, entre outros aspectos.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t>Regulamenta o art. 225, § 1º,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t>Dispõe sobre os parâmetros, definições e limites de áreas de preservação permanente em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t>Dispõe sobre parâmetros, definições e limites das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regras para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rsidRPr="00DC70B6">
              <w:rPr>
                <w:rFonts w:cstheme="minorHAnsi"/>
                <w:szCs w:val="18"/>
              </w:rPr>
              <w:t>Deliberação CONABIO n°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rsidRPr="00DC70B6">
              <w:rPr>
                <w:rFonts w:cstheme="minorHAnsi"/>
                <w:szCs w:val="18"/>
              </w:rP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t>Portaria MMA n.° 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t>Reconhecem-se como áreas prioritárias para a conservação, utilização sustentável e repartição de benefícios da biodiversidade brasileira as áreas mencionadas.</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t>Portaria ICMBio nº 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t>Dispõe sobre a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rsidRPr="00DC70B6">
              <w:rPr>
                <w:rFonts w:cstheme="minorHAnsi"/>
                <w:szCs w:val="18"/>
              </w:rPr>
              <w:t>Instrução Normativa IMA n°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rsidRPr="00DC70B6">
              <w:rPr>
                <w:rFonts w:cstheme="minorHAnsi"/>
                <w:szCs w:val="18"/>
              </w:rPr>
              <w:t>Instrução Normativa IMA n°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rsidRPr="00DC70B6">
              <w:rPr>
                <w:rFonts w:cstheme="minorHAnsi"/>
                <w:szCs w:val="18"/>
              </w:rPr>
              <w:t>Portaria MMA n°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rsidRPr="00DC70B6">
              <w:rPr>
                <w:rFonts w:cstheme="minorHAnsi"/>
                <w:szCs w:val="18"/>
              </w:rP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t>Define critérios e procedimentos administrativos para a compensação pela supressão de vegetação em Unidades de Conservação administradas pelo IMA, com a finalidade de 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r>
        <w:t>Conservação da fauna e da flora</w:t>
      </w:r>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t>Aprova a viabilidade ambiental do “Rodoanel Metropolitano Mário Covas – Trecho Norte</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anexa à presente Instrução Normativa, sendo essas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em licença obrigatória para o controle do transporte e armazenamento de produtos e subprodutos florestais de origem nativa. Alterado pelas Instruções Normativas do IBAMA nº 134/06 e nº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rsidRPr="00DC70B6">
              <w:rPr>
                <w:rFonts w:cstheme="minorHAnsi"/>
                <w:szCs w:val="18"/>
              </w:rPr>
              <w:t>Resolução CONSEMA n°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da vegetação nativa. Altera as Leis nº 6.938, de 31 de agosto de 1981, 9.393, de 19 de dezembro de 1996, e 11.428, de 22 de dezembro de 2006. Revoga as Leis nos 4.771, de 15 de setembro de 1965, e 7.754, de 14 de abril de 1989, e a Medida Provisória no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ameaçadas de extinção as espécies da flora brasileira constantes da 'Lista Nacional Oficial de Espécies da Flora Ameaçadas de Extinção' e estabelece a referida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t>Estabelece procedimentos para 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rPr>
                <w:rFonts w:cstheme="minorHAnsi"/>
                <w:szCs w:val="18"/>
              </w:rPr>
              <w:t xml:space="preserve">Supressão de vegetação nativa em área rural </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rPr>
                <w:rFonts w:cstheme="minorHAnsi"/>
                <w:szCs w:val="18"/>
              </w:rPr>
              <w:t>Dispõe sobre a compensação pelo uso de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t>Resolução CONAMA nº 002/1986</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rsidRPr="00DC70B6">
              <w:rPr>
                <w:rFonts w:cstheme="minorHAnsi"/>
                <w:sz w:val="20"/>
              </w:rPr>
              <w:t>Declara o uso das atribuições que lhe são conferidas pela Lei no. 6.938, de 31 de agosto de 1981, incisos II e X, do artigo 7º, do Decreto nº 99.274, de 06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rsidRPr="00DC70B6">
              <w:rPr>
                <w:rFonts w:cstheme="minorHAnsi"/>
                <w:sz w:val="20"/>
              </w:rPr>
              <w:t>Estabelece diretrizes para os órgãos ambientais para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do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rsidRPr="0098032E">
              <w:rPr>
                <w:rFonts w:cstheme="minorHAnsi"/>
                <w:sz w:val="20"/>
              </w:rPr>
              <w:t>Estabelece os procedimentos para fins de cumprimento</w:t>
            </w:r>
            <w:r>
              <w:rPr>
                <w:rFonts w:cstheme="minorHAnsi"/>
                <w:sz w:val="20"/>
              </w:rPr>
              <w:t xml:space="preserve"> </w:t>
            </w:r>
            <w:r w:rsidRPr="0098032E">
              <w:rPr>
                <w:rFonts w:cstheme="minorHAnsi"/>
                <w:sz w:val="20"/>
              </w:rPr>
              <w:t>do compromisso de compensação ambiental decorrente</w:t>
            </w:r>
            <w:r>
              <w:rPr>
                <w:rFonts w:cstheme="minorHAnsi"/>
                <w:sz w:val="20"/>
              </w:rPr>
              <w:t xml:space="preserve"> </w:t>
            </w:r>
            <w:r w:rsidRPr="0098032E">
              <w:rPr>
                <w:rFonts w:cstheme="minorHAnsi"/>
                <w:sz w:val="20"/>
              </w:rPr>
              <w:t>do licenciamento ambiental de significativo impacto</w:t>
            </w:r>
            <w:r>
              <w:rPr>
                <w:rFonts w:cstheme="minorHAnsi"/>
                <w:sz w:val="20"/>
              </w:rPr>
              <w:t xml:space="preserve"> </w:t>
            </w:r>
            <w:r w:rsidRPr="0098032E">
              <w:rPr>
                <w:rFonts w:cstheme="minorHAnsi"/>
                <w:sz w:val="20"/>
              </w:rPr>
              <w:t>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rPr>
                <w:rFonts w:cstheme="minorHAnsi"/>
                <w:sz w:val="20"/>
              </w:rPr>
              <w:t xml:space="preserve">Estabelece um rito processual claro e detalhado para a compensação da Reserva Legal, essencial para imóveis que até 22 de julho de 2008, apresentavam remanescentes de vegetação nativa abaixo dos percentuais mínimos estipulados pela lei. </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t>Criação do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t>Institui a Divisão Hidrográfica Nacional (DHN).</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t>obtenção da outorga de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rsidRPr="00627A8A">
              <w:rPr>
                <w:rFonts w:cstheme="minorHAnsi"/>
                <w:szCs w:val="18"/>
              </w:rPr>
              <w:t>Dispõe sobre procedimentos gerais para o enquadramento</w:t>
            </w:r>
          </w:p>
          <w:p w14:paraId="1712289B" w14:textId="26C909C7" w:rsidR="00EB4005" w:rsidRPr="00627A8A" w:rsidRDefault="006F4962" w:rsidP="006F4962">
            <w:pPr>
              <w:spacing w:before="0" w:after="0"/>
              <w:jc w:val="left"/>
              <w:rPr>
                <w:rFonts w:cstheme="minorHAnsi"/>
                <w:szCs w:val="18"/>
              </w:rPr>
            </w:pPr>
            <w:r w:rsidRPr="00627A8A">
              <w:rPr>
                <w:rFonts w:cstheme="minorHAnsi"/>
                <w:szCs w:val="18"/>
              </w:rPr>
              <w:t>dos corpos de 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t>Resolução CONAMA nº 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pedido em andamento</w:t>
            </w:r>
          </w:p>
          <w:p w14:paraId="3FCC8BCB" w14:textId="77777777" w:rsidR="00E36352" w:rsidRPr="004C1A0A" w:rsidRDefault="00E36352" w:rsidP="00E36352">
            <w:pPr>
              <w:spacing w:before="0" w:after="0"/>
              <w:jc w:val="left"/>
              <w:rPr>
                <w:rFonts w:cstheme="minorHAnsi"/>
                <w:szCs w:val="18"/>
              </w:rPr>
            </w:pPr>
            <w:r>
              <w:t>de licença de instalação anteriores a 02 de janeiro de &lt;ano não especificado&gt;</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t>Estabelece as condições exigíveis para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rsidRPr="00DC70B6">
              <w:rPr>
                <w:rFonts w:cstheme="minorHAnsi"/>
                <w:szCs w:val="18"/>
              </w:rPr>
              <w:t>Fixa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01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r>
        <w:t>Quadro 5.1-9: Legislação sobre poluição do solo e efluentes líquidos aplicável ao empreendimento.</w:t>
      </w:r>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rsidRPr="00DC70B6">
              <w:rPr>
                <w:rFonts w:cstheme="minorHAnsi"/>
                <w:szCs w:val="18"/>
              </w:rPr>
              <w:t>Dispõe sobre a obrigatoriedade do registro das pessoas físicas ou jurídicas no cadastro técnico federal de pessoas físicas ou jurídicas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rPr>
                <w:rFonts w:cstheme="minorHAnsi"/>
                <w:szCs w:val="18"/>
              </w:rP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rsidRPr="00693735">
              <w:rPr>
                <w:rFonts w:cstheme="minorHAnsi"/>
                <w:szCs w:val="18"/>
              </w:rPr>
              <w:t>Definir a documentação necessária ao licenciamento e</w:t>
            </w:r>
            <w:r>
              <w:rPr>
                <w:rFonts w:cstheme="minorHAnsi"/>
                <w:szCs w:val="18"/>
              </w:rPr>
              <w:t xml:space="preserve"> </w:t>
            </w:r>
            <w:r w:rsidRPr="00693735">
              <w:rPr>
                <w:rFonts w:cstheme="minorHAnsi"/>
                <w:szCs w:val="18"/>
              </w:rPr>
              <w:t>estabelecer critérios para apresentação dos planos,</w:t>
            </w:r>
            <w:r>
              <w:rPr>
                <w:rFonts w:cstheme="minorHAnsi"/>
                <w:szCs w:val="18"/>
              </w:rPr>
              <w:t xml:space="preserve"> </w:t>
            </w:r>
            <w:r w:rsidRPr="00693735">
              <w:rPr>
                <w:rFonts w:cstheme="minorHAnsi"/>
                <w:szCs w:val="18"/>
              </w:rPr>
              <w:t>programas e projetos ambientais para o serviço de coleta</w:t>
            </w:r>
            <w:r>
              <w:rPr>
                <w:rFonts w:cstheme="minorHAnsi"/>
                <w:szCs w:val="18"/>
              </w:rPr>
              <w:t xml:space="preserve"> </w:t>
            </w:r>
            <w:r w:rsidRPr="00693735">
              <w:rPr>
                <w:rFonts w:cstheme="minorHAnsi"/>
                <w:szCs w:val="18"/>
              </w:rPr>
              <w:t>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das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t>Estabelece o código de cores para os diferentes tipos de resíduos a serem adotados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rsidRPr="00F34211">
              <w:rPr>
                <w:rFonts w:cstheme="minorHAnsi"/>
                <w:szCs w:val="18"/>
              </w:rP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t>Altera a Resolução CONAMA nº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rPr>
                <w:rFonts w:cstheme="minorHAnsi"/>
                <w:szCs w:val="18"/>
              </w:rPr>
              <w:t>Portaria SEP</w:t>
            </w:r>
            <w:r w:rsidR="00611F0D">
              <w:rPr>
                <w:rFonts w:cstheme="minorHAnsi"/>
                <w:szCs w:val="18"/>
              </w:rPr>
              <w:t>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a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rsidRPr="00F34211">
              <w:rPr>
                <w:rFonts w:cstheme="minorHAnsi"/>
                <w:szCs w:val="18"/>
              </w:rPr>
              <w:t>Estabelece a obrigatoriedade dos Serviços Especializados em Engenharia de Segurança e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t>Dispõe sobre a emissão do **Laudo de Avaliação do Potencial Malarígeno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rsidRPr="00F34211">
              <w:rPr>
                <w:rFonts w:cstheme="minorHAnsi"/>
                <w:szCs w:val="18"/>
              </w:rPr>
              <w:t>Resolução Normativa da ANEEL n</w:t>
            </w:r>
            <w:r w:rsidRPr="00F34211">
              <w:rPr>
                <w:rFonts w:cstheme="minorHAnsi"/>
                <w:szCs w:val="18"/>
                <w:u w:val="single"/>
                <w:vertAlign w:val="superscript"/>
              </w:rPr>
              <w:t>o</w:t>
            </w:r>
            <w:r w:rsidRPr="00F34211">
              <w:rPr>
                <w:rFonts w:cstheme="minorHAnsi"/>
                <w:szCs w:val="18"/>
              </w:rPr>
              <w:t xml:space="preserve">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rsidRPr="009E7947">
              <w:rPr>
                <w:rFonts w:cstheme="minorHAnsi"/>
                <w:szCs w:val="18"/>
              </w:rPr>
              <w:t>Estabelece procedimentos do processo</w:t>
            </w:r>
            <w:r>
              <w:rPr>
                <w:rFonts w:cstheme="minorHAnsi"/>
                <w:szCs w:val="18"/>
              </w:rPr>
              <w:t xml:space="preserve"> </w:t>
            </w:r>
            <w:r w:rsidRPr="009E7947">
              <w:rPr>
                <w:rFonts w:cstheme="minorHAnsi"/>
                <w:szCs w:val="18"/>
              </w:rPr>
              <w:t>administrativo para identificação, reconhecimento,</w:t>
            </w:r>
            <w:r>
              <w:rPr>
                <w:rFonts w:cstheme="minorHAnsi"/>
                <w:szCs w:val="18"/>
              </w:rPr>
              <w:t xml:space="preserve"> </w:t>
            </w:r>
            <w:r w:rsidRPr="009E7947">
              <w:rPr>
                <w:rFonts w:cstheme="minorHAnsi"/>
                <w:szCs w:val="18"/>
              </w:rPr>
              <w:t>delimitação, demarcação, desintrusão, titulação e</w:t>
            </w:r>
          </w:p>
          <w:p w14:paraId="529EFF07" w14:textId="6DA6F288" w:rsidR="001C6728" w:rsidRPr="00F34211" w:rsidRDefault="009E7947" w:rsidP="009E7947">
            <w:pPr>
              <w:spacing w:before="0" w:after="0"/>
              <w:jc w:val="left"/>
              <w:rPr>
                <w:rFonts w:cstheme="minorHAnsi"/>
                <w:szCs w:val="18"/>
              </w:rPr>
            </w:pPr>
            <w:r w:rsidRPr="009E7947">
              <w:rPr>
                <w:rFonts w:cstheme="minorHAnsi"/>
                <w:szCs w:val="18"/>
              </w:rPr>
              <w:t>registro das terras ocupadas pelos remanescentes</w:t>
            </w:r>
            <w:r>
              <w:rPr>
                <w:rFonts w:cstheme="minorHAnsi"/>
                <w:szCs w:val="18"/>
              </w:rPr>
              <w:t xml:space="preserve"> </w:t>
            </w:r>
            <w:r w:rsidRPr="009E7947">
              <w:rPr>
                <w:rFonts w:cstheme="minorHAnsi"/>
                <w:szCs w:val="18"/>
              </w:rPr>
              <w:t>de comunidades dos quilombos.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rsidRPr="00271630">
              <w:rPr>
                <w:rFonts w:cstheme="minorHAnsi"/>
                <w:szCs w:val="18"/>
              </w:rPr>
              <w:t>Estabelece procedimentos administrativos que</w:t>
            </w:r>
            <w:r>
              <w:rPr>
                <w:rFonts w:cstheme="minorHAnsi"/>
                <w:szCs w:val="18"/>
              </w:rPr>
              <w:t xml:space="preserve"> </w:t>
            </w:r>
            <w:r w:rsidRPr="00271630">
              <w:rPr>
                <w:rFonts w:cstheme="minorHAnsi"/>
                <w:szCs w:val="18"/>
              </w:rPr>
              <w:t>disciplinam a atuação dos órgãos e entidades da</w:t>
            </w:r>
            <w:r>
              <w:rPr>
                <w:rFonts w:cstheme="minorHAnsi"/>
                <w:szCs w:val="18"/>
              </w:rPr>
              <w:t xml:space="preserve"> </w:t>
            </w:r>
            <w:r w:rsidRPr="00271630">
              <w:rPr>
                <w:rFonts w:cstheme="minorHAnsi"/>
                <w:szCs w:val="18"/>
              </w:rPr>
              <w:t>administração pública federal em processos de</w:t>
            </w:r>
          </w:p>
          <w:p w14:paraId="0CD8ED3B" w14:textId="14606BBC" w:rsidR="001C6728" w:rsidRPr="00F34211" w:rsidRDefault="00271630" w:rsidP="00271630">
            <w:pPr>
              <w:spacing w:before="0" w:after="0"/>
              <w:jc w:val="left"/>
              <w:rPr>
                <w:rFonts w:cstheme="minorHAnsi"/>
                <w:szCs w:val="18"/>
              </w:rPr>
            </w:pPr>
            <w:r w:rsidRPr="00271630">
              <w:rPr>
                <w:rFonts w:cstheme="minorHAnsi"/>
                <w:szCs w:val="18"/>
              </w:rPr>
              <w:t>licenciamento ambiental de competência do</w:t>
            </w:r>
            <w:r>
              <w:rPr>
                <w:rFonts w:cstheme="minorHAnsi"/>
                <w:szCs w:val="18"/>
              </w:rPr>
              <w:t xml:space="preserve"> </w:t>
            </w:r>
            <w:r w:rsidRPr="00271630">
              <w:rPr>
                <w:rFonts w:cstheme="minorHAnsi"/>
                <w:szCs w:val="18"/>
              </w:rPr>
              <w:t>Instituto Brasileiro do Meio Ambiente e dos</w:t>
            </w:r>
            <w:r>
              <w:rPr>
                <w:rFonts w:cstheme="minorHAnsi"/>
                <w:szCs w:val="18"/>
              </w:rPr>
              <w:t xml:space="preserve"> </w:t>
            </w:r>
            <w:r w:rsidRPr="00271630">
              <w:rPr>
                <w:rFonts w:cstheme="minorHAnsi"/>
                <w:szCs w:val="18"/>
              </w:rPr>
              <w:t>Recursos Naturais Renováveis-IBAMA.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rPr>
                <w:rFonts w:cstheme="minorHAnsi"/>
                <w:szCs w:val="18"/>
              </w:rP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procedimentos para anuência do uso de áreas em projetos de assentamento do Incra, por atividades ou empreendimentos minerários.</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rsidRPr="000771A9">
              <w:rPr>
                <w:rFonts w:cstheme="minorHAnsi"/>
                <w:szCs w:val="18"/>
              </w:rP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161F52">
              <w:rPr>
                <w:rFonts w:cstheme="minorHAnsi"/>
                <w:szCs w:val="18"/>
              </w:rPr>
              <w:t xml:space="preserve">68 </w:t>
            </w:r>
            <w:r w:rsidRPr="0045598C">
              <w:rPr>
                <w:rFonts w:cstheme="minorHAnsi"/>
                <w:szCs w:val="18"/>
              </w:rPr>
              <w:t xml:space="preserve">de </w:t>
            </w:r>
            <w:r w:rsidR="00161F52">
              <w:rPr>
                <w:rFonts w:cstheme="minorHAnsi"/>
                <w:szCs w:val="18"/>
              </w:rPr>
              <w:t>25</w:t>
            </w:r>
            <w:r w:rsidRPr="0045598C">
              <w:rPr>
                <w:rFonts w:cstheme="minorHAnsi"/>
                <w:szCs w:val="18"/>
              </w:rPr>
              <w:t>/</w:t>
            </w:r>
            <w:r w:rsidR="00161F52">
              <w:rPr>
                <w:rFonts w:cstheme="minorHAnsi"/>
                <w:szCs w:val="18"/>
              </w:rPr>
              <w:t>11</w:t>
            </w:r>
            <w:r w:rsidRPr="0045598C">
              <w:rPr>
                <w:rFonts w:cstheme="minorHAnsi"/>
                <w:szCs w:val="18"/>
              </w:rPr>
              <w:t>/20</w:t>
            </w:r>
            <w:r w:rsidR="00161F52">
              <w:rPr>
                <w:rFonts w:cstheme="minorHAnsi"/>
                <w:szCs w:val="18"/>
              </w:rPr>
              <w:t>10</w:t>
            </w:r>
            <w:r w:rsidRPr="0045598C">
              <w:rPr>
                <w:rFonts w:cstheme="minorHAnsi"/>
                <w:szCs w:val="18"/>
              </w:rPr>
              <w:t xml:space="preserve"> – </w:t>
            </w:r>
            <w:r w:rsidR="00161F52">
              <w:rPr>
                <w:rFonts w:cstheme="minorHAnsi"/>
                <w:szCs w:val="18"/>
              </w:rPr>
              <w:t>Institui o Plano Diretor</w:t>
            </w:r>
            <w:r w:rsidR="0043469A">
              <w:rPr>
                <w:rFonts w:cstheme="minorHAnsi"/>
                <w:szCs w:val="18"/>
              </w:rPr>
              <w:t xml:space="preserve"> de desenvolvimento municipal, dispõe sobre as normas, fixa objetivos e diretrizes urbanísticas </w:t>
            </w:r>
            <w:r w:rsidR="003D3E27">
              <w:rPr>
                <w:rFonts w:cstheme="minorHAnsi"/>
                <w:szCs w:val="18"/>
              </w:rPr>
              <w:t xml:space="preserve">do município de Lebon Régis e dá outras providências. </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Vargem de dezembro de 1995.</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nº 11 de 27/11/2003 – Institui o Plano Diretor Físico 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t>Lei Orgânica do Município de Lapa de março/2020.</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diversas legislações e normativas técnicas pertinentes nos níveis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t>Decreto-Lei n°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rsidRPr="00DF7244">
              <w:rPr>
                <w:rFonts w:cstheme="minorHAnsi"/>
                <w:szCs w:val="18"/>
              </w:rPr>
              <w:t>Regulamenta o Capítulo III do Título IV do Código Brasileiro do Ar (Zonas de Proteção de Aeródromos, de Helipontos e de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usadas em linhas aéreas de transmissão e subestações de alta e extra alta tensões.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tipo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t>Altera o Decreto nº 84.938, de 16/01/1980, que dispõe sobre a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t>Fixa as condições exigíveis para cordoalhas de sete fios de aço zincado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poços e trincheiras, bem como os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t>Estabelece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concessionárias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t>Estabelece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nº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rsidRPr="00DF7244">
              <w:rPr>
                <w:rFonts w:cstheme="minorHAnsi"/>
                <w:szCs w:val="18"/>
              </w:rPr>
              <w:t>Estabelece normas para outorga e prorrogações das concessões e permissões de serviços públicos. Altera a Lei 8.987/95. Alterada pelas Leis 9.648/98 e 10.848/04. Regulamentada, em parte, pelo Decreto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rsidRPr="00DF7244">
              <w:rPr>
                <w:rFonts w:cstheme="minorHAnsi"/>
                <w:szCs w:val="18"/>
              </w:rP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t>Fixa as condições exigíveis para a coleta, o acondicionamento e o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nº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rsidRPr="00DF7244">
              <w:rPr>
                <w:rFonts w:cstheme="minorHAnsi"/>
                <w:szCs w:val="18"/>
              </w:rPr>
              <w:t>Altera o Decreto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9.074/95 e nº 9.427/96 e autoriza o Poder Executivo a promover a reestruturação da Centrais Elétricas Brasileiras - ELETROBRÁS e de suas subsidiárias. Alterada pelas Leis nº 10.438/02, nº 10.848/04 e nº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rsidRPr="00DF7244">
              <w:rPr>
                <w:rFonts w:cstheme="minorHAnsi"/>
                <w:szCs w:val="18"/>
              </w:rPr>
              <w:t>Resolução ANEEL n°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t>Estabelece os requisitos necessários para a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compreendendo o uso e a conexão,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rsidRPr="00DF7244">
              <w:rPr>
                <w:rFonts w:cstheme="minorHAnsi"/>
                <w:szCs w:val="18"/>
              </w:rPr>
              <w:t xml:space="preserve">Prescreve o método de verificação do poder </w:t>
            </w:r>
            <w:proofErr w:type="spellStart"/>
            <w:r w:rsidRPr="00DF7244">
              <w:rPr>
                <w:rFonts w:cstheme="minorHAnsi"/>
                <w:szCs w:val="18"/>
              </w:rPr>
              <w:t>desaguante</w:t>
            </w:r>
            <w:proofErr w:type="spellEnd"/>
            <w:r w:rsidRPr="00DF7244">
              <w:rPr>
                <w:rFonts w:cstheme="minorHAnsi"/>
                <w:szCs w:val="18"/>
              </w:rPr>
              <w:t xml:space="preserve"> de protetivos temporários contra corrosão sobre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t>Dispõe sobre a expansão da oferta de energia elétrica emergencial, recomposição tarifária extraordinária; cria o Programa de Incentivo às Fontes Alternativas de Energia Elétrica (Proinfa) e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rsidRPr="00DF7244">
              <w:rPr>
                <w:rFonts w:cstheme="minorHAnsi"/>
                <w:szCs w:val="18"/>
              </w:rPr>
              <w:t>Resolução ANEEL n°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rsidRPr="00DF7244">
              <w:rPr>
                <w:rFonts w:cstheme="minorHAnsi"/>
                <w:szCs w:val="18"/>
              </w:rP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t>Regulamenta os arts.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t>Regulamenta a comercialização de energia elétrica e o processo de outorga de concessões e autorizações para geração de energia elétrica. Foi alterado pelos Decretos nº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relativos a um sistema da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rsidRPr="00DF7244">
              <w:rPr>
                <w:rFonts w:cstheme="minorHAnsi"/>
                <w:szCs w:val="18"/>
              </w:rP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t>Regulamenta o acesso de consumidores livres às redes de transmissão de energia elétrica e dá outras providências. Altera o § 8º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a prorrogação das concessões de uso do bem público dos empreendimentos de geração de energia elétrica conforme o art. 17 da Lei 10.848/04. Altera o Decreto 5.163/04, o qual foi alterado pelo Decreto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Fixa os requisitos exigíveis para verificação da segurança das estruturas usuais da construção civil em relação às ações de sismos e aos critérios de quantificação dessas ações e das resistências a serem consideradas no projeto das estruturas de edificações, independentemente de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rsidRPr="00DF7244">
              <w:rPr>
                <w:rFonts w:cstheme="minorHAnsi"/>
                <w:szCs w:val="18"/>
              </w:rPr>
              <w:t>Resolução ANEEL n°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transferência de tecnologia e assistência técnica,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do Sistema de Transmissão (CUST) e Contratos de Conexão ao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t>Altera os Arts. 11, 19, 27, 34 e 36 do Decreto no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t>Resolução Normativa nº 279/ANEEL</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t>Altera dispositivos do Decreto nº 5.163/2004,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nº 10.848/2004, altera o art. 44 do Decreto nº 5.163/2004 e o art. 2º do Decreto nº 5.177/2004.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fabricação, qualificação, aceitação e/ou recebimento de cabos de alumínio nus (CA), empregados para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nº 9.074/1995, nº 9.427/1996 e nº 10.848/2004; revoga dispositivos da Lei nº 9.648/1998. Regulamentada pelo Decreto nº 7.246/2010.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(ONS)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t>Estabelecem-se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3º, 18, 24 e 27 do Decreto nº 5.163, de 30 de julho de 2004, que regulamenta a comercialização de energia elétrica, o processo de outorga de concessões e de autorizações de geração de energia elétrica, e dá outra providência.</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t>Define os termos relacionados às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rsidRPr="00DF7244">
              <w:rPr>
                <w:rFonts w:cstheme="minorHAnsi"/>
                <w:szCs w:val="18"/>
              </w:rPr>
              <w:t>Acresce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rsidRPr="00DF7244">
              <w:rPr>
                <w:rFonts w:cstheme="minorHAnsi"/>
                <w:szCs w:val="18"/>
              </w:rPr>
              <w:t>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t>Vínculos das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t>Altera a Resolução Normativa ANEEL 279/2007.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a isoladores para sistemas de potência, não sendo necessariamente aplicável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t>Regulamenta a Medida Provisória nº 579/12, convertida na Lei nº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t>Especifica os requisitos de iluminação para locais de trabalho internos, garantindo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copilhas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t>Altera o Decreto nº 5.163, de 30 de julho de 2004, que regulamenta a comercialização de energia elétrica, bem como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excluindo aquelas em que se empregam concreto leve, pesado ou outros tipos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rsidRPr="00DF7244">
              <w:rPr>
                <w:rFonts w:cstheme="minorHAnsi"/>
                <w:szCs w:val="18"/>
              </w:rPr>
              <w:t>Especifica os isoladores para linhas aéreas com tensões acima de 1000 V; isoladores de porcelana ou vidro para linhas aéreas e subestações de alta.</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