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ESTUDO DE IMPACTO AMBIENTAL</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 de 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 Políticas e licenciamento ambiental. 7</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5.1.2 Uso e ocupação do solo</w:t>
      </w:r>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5.1.5 Compensação Ambiental 14/09/2023</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5.1.6 Recursos hídricos superficiais e subterrâneos</w:t>
      </w:r>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 [coloque a data completa aqui, ex: 15/09/2023]</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5.1.9 Poluição do solo e Efluentes Líquidos 16/XX/XXXX</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5.1.12 Comunidades indígenas, quilombolas, pesqueiras e outras tradicionais 17</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 17 de março de 2023.</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5.1.14 Legislação Municipal [ano incompleto]</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t>O relatório de impacto ambiental foi emitido em 12/08/2020 e revisitado em julho de 202–.</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caracterizadas situações que comprometam a continuidade e a segurança do suprimento eletroenergético, reconhecidas pelo Comitê de Monitoramento do Setor Elétrico (CMSE), ou a necessidade de sistemas de transmissão de energia elétrica associados a empreendimentos estratégicos, indicada pelo Conselho Nacional de Política Energética (CNPE).</w:t>
      </w:r>
    </w:p>
    <w:p w14:paraId="063D0802" w14:textId="4120F6F7" w:rsidR="00FF3ECE" w:rsidRDefault="00FF3ECE" w:rsidP="00FF3ECE">
      <w:pPr>
        <w:rPr>
          <w:lang w:eastAsia="pt-BR"/>
        </w:rPr>
      </w:pPr>
      <w:r>
        <w:t>A Lei Complementar nº 140, de 08/12/2011, indica a esfera de licenciamento (federal, estadual e municipal) a depender da localização do empreendimento.</w:t>
      </w:r>
    </w:p>
    <w:p w14:paraId="371A6B22" w14:textId="621A9C94" w:rsidR="00EF761D" w:rsidRPr="000D1940" w:rsidRDefault="00EF761D" w:rsidP="00FF3ECE">
      <w:pPr>
        <w:rPr>
          <w:lang w:eastAsia="pt-BR"/>
        </w:rPr>
      </w:pPr>
      <w:r>
        <w:t>No entanto, a Graúna Transmissora de Energia S.A., por meio da Carta CE-STEP-TO-0006-V.1, requereu ao IBAMA análise quanto à possibilidade de delegação de competência, à luz da Instrução Normativa 8/2019, visto que o empreendimento está incluído principalmente no estado de Santa Catarina. Nesse contexto, o IBAMA delegou ao IMA/SC em [data omitida], por meio do Ofício [número omitido],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nº 11.428/06),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bookmarkStart w:id="8" w:name="_Hlk8654762"/>
      <w:bookmarkStart w:id="9" w:name="_Toc165194631"/>
      <w:bookmarkStart w:id="10" w:name="_Toc166044284"/>
      <w:bookmarkStart w:id="11" w:name="_Toc166044505"/>
      <w:bookmarkStart w:id="12" w:name="_Toc167070688"/>
      <w:bookmarkStart w:id="13" w:name="_Toc168463268"/>
      <w:bookmarkStart w:id="14" w:name="_Toc168727920"/>
      <w:bookmarkStart w:id="15" w:name="_Toc168728147"/>
      <w:bookmarkStart w:id="16" w:name="_Toc168734839"/>
      <w:bookmarkStart w:id="17" w:name="_Toc168749665"/>
      <w:bookmarkStart w:id="18" w:name="_Toc168752466"/>
      <w:bookmarkStart w:id="19" w:name="_Toc168752602"/>
      <w:bookmarkStart w:id="20" w:name="_Toc168767802"/>
      <w:bookmarkStart w:id="21" w:name="_Toc496806847"/>
      <w:r w:rsidRPr="000D1940">
        <w:rPr>
          <w:lang w:eastAsia="pt-BR"/>
        </w:rPr>
        <w:t xml:space="preserve">A solicitação de abertura de processo com o objetivo de licenciar ou regularizar empreendimento junto ao IMA deverá ser feita, exclusivamente, por meio do endereço eletrônico dos </w:t>
      </w:r>
      <w:r w:rsidRPr="000D1940">
        <w:rPr>
          <w:i/>
          <w:lang w:eastAsia="pt-BR"/>
        </w:rPr>
        <w:t>Serviços On-line</w:t>
      </w:r>
      <w:r w:rsidRPr="000D1940">
        <w:rPr>
          <w:lang w:eastAsia="pt-BR"/>
        </w:rPr>
        <w:t xml:space="preserve"> Software de Licenciamento Ambiental Web (</w:t>
      </w:r>
      <w:proofErr w:type="spellStart"/>
      <w:r w:rsidRPr="000D1940">
        <w:rPr>
          <w:lang w:eastAsia="pt-BR"/>
        </w:rPr>
        <w:t>SinFAT</w:t>
      </w:r>
      <w:proofErr w:type="spellEnd"/>
      <w:r w:rsidRPr="000D1940">
        <w:rPr>
          <w:lang w:eastAsia="pt-BR"/>
        </w:rPr>
        <w:t xml:space="preserve"> Web). O empreendedor deve cumprir cinco etapas, sendo essas: </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ocorre somente após 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dispostos em quadros, diferenciando a legislação por esfera (federal ou estadual), instrumento (número da legislação), data do instrumento e breve explicação da legislação. Os tópicos estão organizados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t>Dispõe sobre a aprovação de modelos para 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para a Reposição Florestal, nos termos da Lei Federal n° 4.771/65, do Decreto Federal n° 5.975/06 e da Instrução Normativa n°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t>Institui a avaliação integrada da bacia hidrográfica para fins de licenciamento ambiental e estabelece outras providências adicionais.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rsidRPr="0049732B">
              <w:rPr>
                <w:rFonts w:asciiTheme="minorHAnsi" w:hAnsiTheme="minorHAnsi" w:cstheme="minorHAnsi"/>
                <w:sz w:val="18"/>
                <w:szCs w:val="18"/>
              </w:rPr>
              <w:t>Altera e acrescenta dispositivos ao Decreto n</w:t>
            </w:r>
            <w:r w:rsidRPr="0049732B">
              <w:rPr>
                <w:rFonts w:asciiTheme="minorHAnsi" w:hAnsiTheme="minorHAnsi" w:cstheme="minorHAnsi"/>
                <w:sz w:val="18"/>
                <w:szCs w:val="18"/>
                <w:u w:val="single"/>
                <w:vertAlign w:val="superscript"/>
              </w:rPr>
              <w:t>o</w:t>
            </w:r>
            <w:r w:rsidRPr="0049732B">
              <w:rPr>
                <w:rFonts w:asciiTheme="minorHAnsi" w:hAnsiTheme="minorHAnsi" w:cstheme="minorHAnsi"/>
                <w:sz w:val="18"/>
                <w:szCs w:val="18"/>
              </w:rPr>
              <w:t xml:space="preserve">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nº 12.111, de 9 de dezembro de 2009, nº 9.648, de 27 de maio de 1998, nº 9.427, de 26 de dezembro de 1996, e nº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Estabelece-se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t>Estabelece diretrizes gerais aplicáveis aos processos de licenciamento ambiental para todas as atividades no estado de Santa Catarina.</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t>Define as normas para a outorga e prorrogação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Instruções para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 Lei 17.987/2020, Lei 18.639/2023 e Lei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com intervenções legalmente autorizadas.</w:t>
      </w:r>
    </w:p>
    <w:p w14:paraId="58943ACA" w14:textId="6DF632F1" w:rsidR="00FF3ECE" w:rsidRPr="000D1940" w:rsidRDefault="00FF3ECE" w:rsidP="00FF3ECE">
      <w:pPr>
        <w:pStyle w:val="Legenda"/>
        <w:rPr>
          <w:rFonts w:asciiTheme="majorHAnsi" w:hAnsiTheme="majorHAnsi"/>
        </w:rPr>
      </w:pPr>
      <w:r>
        <w:t>Quadro 5.1-3: Legislação das áreas ambientalmente protegidas aplicáveis ao empreendimento.</w:t>
      </w:r>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t>Resolução CONAMA nº 009, de 1990.</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t>Decreto nº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a utilização sustentável e a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t>Deliberação CONSEMA nº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 uma licença obrigatória para o controle do transporte e armazenamento de produtos e subprodutos florestais de origem nativa, alterada pelas Instruções Normativas do IBAMA nº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Ameaçadas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9.393, de 19 de dezembro de 1996, e 11.428, de 22 de dezembro de 2006. Revoga as Leis nº 4.771, de 15 de setembro de 1965, e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t>Reconhece a Lista Oficial das Espécies da Flora Ameaçadas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listadas na 'Lista Nacional Oficial de Espécies da Flora Ameaçadas de Extinção' e estabelece essa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de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rsidRPr="00DC70B6">
              <w:rPr>
                <w:rFonts w:cstheme="minorHAnsi"/>
                <w:sz w:val="20"/>
              </w:rPr>
              <w:t>Declara o uso das atribuições que lhe são conferidas pela Lei no.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para 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fins de cumprimento do compromisso de compensação ambiental decorrente do licenciamento ambiental de impacto significativo.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t>Institui a Política Nacional de Recursos Hídricos,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para o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em processo de solicitação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r>
        <w:t>Quadro 5.1-8 – Legislação de ruídos aplicável ao empreendimento</w:t>
      </w:r>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Fixa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t>Dispõe sobre critérios de padrões de emissão de ruídos decorrentes de quaisquer atividades industriais, comerciais, sociais ou recreativas, incluindo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de pessoas físicas ou jurídicas no Cadastro Técnico Federal para aquelas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serem adotados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t>Classifica os resíduos sólidos quanto aos seus riscos potenciais ao meio ambiente e à saúde pública, para que esses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além de definir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t>Estabelece a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regulamentam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rsidRPr="00271630">
              <w:rPr>
                <w:rFonts w:cstheme="minorHAnsi"/>
                <w:szCs w:val="18"/>
              </w:rPr>
              <w:t>licenciamento ambiental de competência do</w:t>
            </w:r>
            <w:r>
              <w:rPr>
                <w:rFonts w:cstheme="minorHAnsi"/>
                <w:szCs w:val="18"/>
              </w:rPr>
              <w:t xml:space="preserve"> </w:t>
            </w:r>
            <w:r w:rsidRPr="00271630">
              <w:rPr>
                <w:rFonts w:cstheme="minorHAnsi"/>
                <w:szCs w:val="18"/>
              </w:rPr>
              <w:t>Instituto Brasileiro do Meio Ambiente e dos</w:t>
            </w:r>
            <w:r>
              <w:rPr>
                <w:rFonts w:cstheme="minorHAnsi"/>
                <w:szCs w:val="18"/>
              </w:rPr>
              <w:t xml:space="preserve"> </w:t>
            </w:r>
            <w:r w:rsidRPr="00271630">
              <w:rPr>
                <w:rFonts w:cstheme="minorHAnsi"/>
                <w:szCs w:val="18"/>
              </w:rPr>
              <w:t>Recursos Naturais Renováveis-IBAMA.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os procedimentos para anuência do uso de áreas em projetos de assentamento do Incra para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t>Decreto nº 050, de 07/10/2029 – Estabelece procedimentos para licenciamento ambiental no âmbito do município e dá outras providências.</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nº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20/09/1982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t>Lei Complementar n° 86 de 22/09/2022 – Dispõe sobre o ordenamento territorial, definindo o zoneamento, uso e ocupação do solo e o sistema viário do perímetro urbano da sede do município de Mafra.</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t>Lei Ordinária n.º 1.753/2013 – Dispõe sobre a criação do conselho e do fundo municipal do meio ambiente no âmbito do município de Santa Cecília e dá outras providências.</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t>Lei nº 3.700, de 20/03/2020 – Institui a revisão do Plano Diretor Municipal da Lapa, estabelece as diretrizes para o planejamento do município e dá outras providências.</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rsidRPr="00DF7244">
              <w:rPr>
                <w:rFonts w:cstheme="minorHAnsi"/>
                <w:szCs w:val="18"/>
              </w:rPr>
              <w:t>Resolução ANEEL n°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 e trincheira,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Estabelece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outorgas e prorrogações de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nº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9.074/1995 e nº 9.427/1996 e autoriza o Poder Executivo a promover a reestruturação das Centrais Elétricas Brasileiras - ELETROBRÁS e de suas subsidiárias. Alterada pelas Leis nº 10.438/2002, nº 10.848/2004 e nº 12.111/2009.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rsidRPr="00DF7244">
              <w:rPr>
                <w:rFonts w:cstheme="minorHAnsi"/>
                <w:szCs w:val="18"/>
              </w:rPr>
              <w:t>Resolução ANEEL n°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incluindo o uso, a conexão, e os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da capacidade de desaguamento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a recomposição tarifária extraordinária, cria o Programa de Incentivo às Fontes Alternativas de Energia Elétrica (Proinfa), a Conta de Desenvolvimento Energético (CDE), aborda a universalização do serviço público de energia elétrica e altera as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e o processo de outorga de concessões 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t>Regulamenta os arts. 4º e 5º da Lei nº 10.848/04 e dispõe sobre a organização, as atribuições e o funcionamento da Câmara de Comercialização de Energia Elétrica (CCEE). Alterado pelo Decreto nº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e o processo de outorga de concessões 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Fixa os critérios mínimos para sinalização de advertências em linhas aéreas de transmissão de energia elétrica, doravante designadas como linhas ou LTs,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t>Estabelece os critérios mínimos para 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 de 2004. Altera o Decreto nº 5.163, de 2004. Alterado pelo Decreto nº 7.317, de 2010.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a verificação da segurança das estruturas usuais da construção civil em relação às ações de sismos, e define os critérios para quantificação dessas ações e resistências a serem consideradas no projeto de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do Sistema de Transmissão (CUST) e dos Contratos de Conexão do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nº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t>Especifica os requisitos exigíveis para aceitação e/ou recebimento de fios de alumínio 1350 nú,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bem como o processo de outorga de concessões e de autorizações para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10.848/04, altera o art. 44 do Decreto nº 5.163/04 e o art. 2º do Decreto nº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empregados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t>Dá nova redação ao art. 54 do Decreto nº 5.163/2004,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t>Regulamenta a Lei nº 11.934, no que se refere aos limites de exposição humana a campos elétricos e magnéticos originados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rsidRPr="00DF7244">
              <w:rPr>
                <w:rFonts w:cstheme="minorHAnsi"/>
                <w:szCs w:val="18"/>
              </w:rPr>
              <w:t>Resolução ANEEL n°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bem como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O documento 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nº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nº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aplicáveis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rsidRPr="00DF7244">
              <w:rPr>
                <w:rFonts w:cstheme="minorHAnsi"/>
                <w:szCs w:val="18"/>
              </w:rPr>
              <w:t xml:space="preserve">Aplica-se a </w:t>
            </w:r>
            <w:proofErr w:type="spellStart"/>
            <w:r w:rsidRPr="00DF7244">
              <w:rPr>
                <w:rFonts w:cstheme="minorHAnsi"/>
                <w:szCs w:val="18"/>
              </w:rPr>
              <w:t>cupilhas</w:t>
            </w:r>
            <w:proofErr w:type="spellEnd"/>
            <w:r w:rsidRPr="00DF7244">
              <w:rPr>
                <w:rFonts w:cstheme="minorHAnsi"/>
                <w:szCs w:val="18"/>
              </w:rPr>
              <w:t xml:space="preserve">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t>Resolução nº 616 da ANEEL</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exigidos para o projeto de estruturas de concreto simples, armado e protendido, excluindo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incluindo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t>Estabelece os requisitos para a sinalização de identificação de linha aérea de transmissão de energia elétrica, bem como, quando necessário, de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