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5.1.3 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ajude na compreensão do meio ambiente e dos objetivos deste EIA, bem como 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rsidRPr="000D1940">
        <w:rPr>
          <w:lang w:eastAsia="pt-BR"/>
        </w:rPr>
        <w:t xml:space="preserve">A </w:t>
      </w:r>
      <w:r w:rsidR="009761C0">
        <w:rPr>
          <w:lang w:eastAsia="pt-BR"/>
        </w:rPr>
        <w:t xml:space="preserve">Lei Complementar </w:t>
      </w:r>
      <w:r w:rsidR="006C5296">
        <w:rPr>
          <w:lang w:eastAsia="pt-BR"/>
        </w:rPr>
        <w:t>nº 140, de 8 de dezembro de 2011</w:t>
      </w:r>
      <w:r w:rsidRPr="000D1940">
        <w:rPr>
          <w:lang w:eastAsia="pt-BR"/>
        </w:rPr>
        <w:t xml:space="preserve"> indica a esfera de licenciamento (federal, estadual e municipal) a depender da localização do empreendimento. </w:t>
      </w:r>
      <w:r w:rsidR="006545BB" w:rsidRPr="000D1940">
        <w:rPr>
          <w:lang w:eastAsia="pt-BR"/>
        </w:rPr>
        <w:t xml:space="preserve">A competência do licenciamento ambiental da </w:t>
      </w:r>
      <w:r w:rsidR="006545BB" w:rsidRPr="000D1940">
        <w:t xml:space="preserve">LT 525 kV </w:t>
      </w:r>
      <w:r w:rsidR="006545BB">
        <w:t xml:space="preserve">Abdon Batista 2 – Curitiba Oeste e Subestação Curitiba Oeste, inicialmente se enquadra como de competência federal, visto que o empreendimento é localizado em dois ou mais Estados, conforme Art. </w:t>
      </w:r>
      <w:r w:rsidR="00FA1D87">
        <w:t>7</w:t>
      </w:r>
      <w:r w:rsidR="006545BB">
        <w:t>º</w:t>
      </w:r>
      <w:r w:rsidR="00133BE0">
        <w:t xml:space="preserve"> da referida Lei. </w:t>
      </w:r>
      <w:r w:rsidR="0038236F">
        <w:rPr>
          <w:lang w:eastAsia="pt-BR"/>
        </w:rPr>
        <w:t xml:space="preserve"> </w:t>
      </w:r>
    </w:p>
    <w:p w14:paraId="371A6B22" w14:textId="621A9C94" w:rsidR="00EF761D" w:rsidRPr="000D1940" w:rsidRDefault="00EF761D" w:rsidP="00FF3ECE">
      <w:pPr>
        <w:rPr>
          <w:lang w:eastAsia="pt-BR"/>
        </w:rPr>
      </w:pPr>
      <w:r>
        <w:t>No entanto, a Graúna Transmissora de Energia S.A., por meio da Carta CE-STEP-TO-0006-V.1, requereu ao IBAMA análise quanto à possibilidade de delegação de competência, à luz da Instrução Normativa 8/2019, visto que o empreendimento está incluído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11.428/156),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r>
        <w:t>Procedimentos de Licenciamento Ambiental</w:t>
      </w:r>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**Software de Licenciamento Ambiental Web** (SinFAT Web). O empreendedor deve cumprir cinco etapas, sendo essas:</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de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t>Nesse contexto, procedeu-se a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são apresentados em quadros, separando a legislação quanto à esfera (federal ou estadual), instrumento (número da legislação), data do instrumento e uma breve explicação da legislação. Os tópicos estão organizados conforme o solicitado pelo Termo de Referência - TR nº [número a ser inserido].</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 4.771/65, Decreto Federal n° 5.975/06 e Instrução Normativa n°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t>Decreto nº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regras sobre a emissão de autorizações para captura, coleta e transporte de material biológico destinadas à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 dispositivos à Instrução Normativa nº 184/2008, que dispõe sobre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proteção do meio ambiente,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rsidRPr="0049732B">
              <w:rPr>
                <w:rFonts w:cstheme="minorHAnsi"/>
                <w:szCs w:val="18"/>
              </w:rPr>
              <w:t>Dispõe sobre as concessões de geração, transmissão e distribuição de energia elétrica, sobre a redução dos encargos setoriais e sobre a modicidade tarifária; altera as Leis nº 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Unifica-se o licenciamento ambiental para 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rsidRPr="0049732B">
              <w:rPr>
                <w:rFonts w:cstheme="minorHAnsi"/>
                <w:szCs w:val="18"/>
              </w:rP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rsidRPr="0049732B">
              <w:rPr>
                <w:rFonts w:cstheme="minorHAnsi"/>
                <w:szCs w:val="18"/>
              </w:rP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t>Portaria IMA nº 125</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t>Portaria Conjunta IMA/CPMA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por meio do qual serão apuradas as responsabilidades por infrações ambientais,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t>no âmbito dos órgãos executores da Política Estadual de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t>Atividades sujeitas ao Cadastro Ambiental Rural.</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revoga os atos normativos consolidados, em atendimento ao Decreto nº 10.139, de 28 de novembro.</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Instruções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 DUP, de áreas de terra necessárias à implantação de instalações de geração 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t>Decreto nº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t>Portaria ICMBio nº 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t>Dispõe sobre a proteção à fauna e adota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estas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como licença obrigatória para o controle do transporte e armazenamento de produtos e subprodutos florestais de origem nativa, com alterações pelas Instruções Normativas do IBAMA nos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nº 9.393, de 19 de dezembro de 1996, e nº 11.428, de 22 de dezembro de 2006. Revoga as Leis nº 4.771, de 15 de setembro de 1965, nº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Reconhecem-se como espécies da flora brasileira ameaçadas de extinção aquelas constantes da 'Lista Nacional Oficial de Espécies da Flora Ameaçadas de Extinção' e estabelece-se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rPr>
                <w:rFonts w:cstheme="minorHAnsi"/>
                <w:szCs w:val="18"/>
              </w:rPr>
              <w:t>Dispõe sobre a compensação pelo uso de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rsidRPr="00116DA5">
              <w:rPr>
                <w:rFonts w:cstheme="minorHAnsi"/>
                <w:szCs w:val="18"/>
              </w:rPr>
              <w:t>Definir a documentação necessária à Autorização Ambiental</w:t>
            </w:r>
            <w:r>
              <w:rPr>
                <w:rFonts w:cstheme="minorHAnsi"/>
                <w:szCs w:val="18"/>
              </w:rPr>
              <w:t xml:space="preserve"> </w:t>
            </w:r>
            <w:r w:rsidRPr="00116DA5">
              <w:rPr>
                <w:rFonts w:cstheme="minorHAnsi"/>
                <w:szCs w:val="18"/>
              </w:rPr>
              <w:t>(</w:t>
            </w:r>
            <w:proofErr w:type="spellStart"/>
            <w:r w:rsidRPr="00116DA5">
              <w:rPr>
                <w:rFonts w:cstheme="minorHAnsi"/>
                <w:szCs w:val="18"/>
              </w:rPr>
              <w:t>AuA</w:t>
            </w:r>
            <w:proofErr w:type="spellEnd"/>
            <w:r w:rsidRPr="00116DA5">
              <w:rPr>
                <w:rFonts w:cstheme="minorHAnsi"/>
                <w:szCs w:val="18"/>
              </w:rPr>
              <w:t>) ou Licença Ambiental por Compromisso (LAC) para o</w:t>
            </w:r>
            <w:r>
              <w:rPr>
                <w:rFonts w:cstheme="minorHAnsi"/>
                <w:szCs w:val="18"/>
              </w:rPr>
              <w:t xml:space="preserve"> </w:t>
            </w:r>
            <w:r w:rsidRPr="00116DA5">
              <w:rPr>
                <w:rFonts w:cstheme="minorHAnsi"/>
                <w:szCs w:val="18"/>
              </w:rPr>
              <w:t>Levantamento, Salvamento, Monitoramento e</w:t>
            </w:r>
            <w:r>
              <w:rPr>
                <w:rFonts w:cstheme="minorHAnsi"/>
                <w:szCs w:val="18"/>
              </w:rPr>
              <w:t xml:space="preserve"> </w:t>
            </w:r>
            <w:r w:rsidRPr="00116DA5">
              <w:rPr>
                <w:rFonts w:cstheme="minorHAnsi"/>
                <w:szCs w:val="18"/>
              </w:rPr>
              <w:t>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rsidRPr="00116DA5">
              <w:rPr>
                <w:rFonts w:cstheme="minorHAnsi"/>
                <w:szCs w:val="18"/>
              </w:rPr>
              <w:t>de estudos e procedimentos relacionados a</w:t>
            </w:r>
            <w:r>
              <w:rPr>
                <w:rFonts w:cstheme="minorHAnsi"/>
                <w:szCs w:val="18"/>
              </w:rPr>
              <w:t xml:space="preserve"> </w:t>
            </w:r>
            <w:r w:rsidRPr="00116DA5">
              <w:rPr>
                <w:rFonts w:cstheme="minorHAnsi"/>
                <w:szCs w:val="18"/>
              </w:rPr>
              <w:t>empreendimentos/atividades, sujeitos ao licenciamento</w:t>
            </w:r>
            <w:r>
              <w:rPr>
                <w:rFonts w:cstheme="minorHAnsi"/>
                <w:szCs w:val="18"/>
              </w:rPr>
              <w:t xml:space="preserve"> </w:t>
            </w:r>
            <w:r w:rsidRPr="00116DA5">
              <w:rPr>
                <w:rFonts w:cstheme="minorHAnsi"/>
                <w:szCs w:val="18"/>
              </w:rPr>
              <w:t>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002/1996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fins de cumprimento do compromisso de compensação ambiental decorrente do licenciamento ambiental de impacto significativo.</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r>
        <w:t>Quadro 5.1-6: Legislação de recursos hídricos superficiais e subterrâneos aplicáveis ao empreendimento.</w:t>
      </w:r>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solicitação</w:t>
            </w:r>
          </w:p>
          <w:p w14:paraId="3FCC8BCB" w14:textId="77777777" w:rsidR="00E36352" w:rsidRPr="004C1A0A" w:rsidRDefault="00E36352" w:rsidP="00E36352">
            <w:pPr>
              <w:spacing w:before="0" w:after="0"/>
              <w:jc w:val="left"/>
              <w:rPr>
                <w:rFonts w:cstheme="minorHAnsi"/>
                <w:szCs w:val="18"/>
              </w:rPr>
            </w:pPr>
            <w:r>
              <w:t>de licenças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das pessoas físicas ou jurídicas no cadastro técnico federal de pessoas físicas ou jurídicas que desempenham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t>Dispõe sobre as condições e padrões de lançamento de efluentes, complementa e altera a Resolução n.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para o licenciamento e estabelecer critérios para a apresentação dos planos, programas e projetos ambientais para 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r>
        <w:t>Quadro 5.1-10: Legislação sobre resíduos sólidos aplicável ao empreendimento.</w:t>
      </w:r>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t>Estabelece as atividades e operações insalubres e define os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rPr>
                <w:rFonts w:cstheme="minorHAnsi"/>
                <w:szCs w:val="18"/>
              </w:rPr>
              <w:t xml:space="preserve">Promove a harmonização de termos técnicos e estabelece </w:t>
            </w:r>
            <w:r w:rsidR="00F436E1">
              <w:rPr>
                <w:rFonts w:cstheme="minorHAnsi"/>
                <w:szCs w:val="18"/>
              </w:rPr>
              <w:t xml:space="preserve">novas regras para capacitação e treinamento em segurança do trabalho, revogando a NR 02 e aprova nova redação da NR 01. </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r>
        <w:t>Quadro 5.1-12: Legislação de territórios tradicionais e outras comunidades aplicáveis ao empreendimento.</w:t>
      </w:r>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administrativos para identificação, reconhecimento, 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rsidRPr="00271630">
              <w:rPr>
                <w:rFonts w:cstheme="minorHAnsi"/>
                <w:szCs w:val="18"/>
              </w:rPr>
              <w:t>Estabelece procedimentos administrativos que</w:t>
            </w:r>
            <w:r>
              <w:rPr>
                <w:rFonts w:cstheme="minorHAnsi"/>
                <w:szCs w:val="18"/>
              </w:rPr>
              <w:t xml:space="preserve"> </w:t>
            </w:r>
            <w:r w:rsidRPr="00271630">
              <w:rPr>
                <w:rFonts w:cstheme="minorHAnsi"/>
                <w:szCs w:val="18"/>
              </w:rPr>
              <w:t>disciplinam a atuação dos órgãos e entidades da</w:t>
            </w:r>
            <w:r>
              <w:rPr>
                <w:rFonts w:cstheme="minorHAnsi"/>
                <w:szCs w:val="18"/>
              </w:rPr>
              <w:t xml:space="preserve"> </w:t>
            </w:r>
            <w:r w:rsidRPr="00271630">
              <w:rPr>
                <w:rFonts w:cstheme="minorHAnsi"/>
                <w:szCs w:val="18"/>
              </w:rPr>
              <w:t>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rsidRPr="001F6722">
              <w:rPr>
                <w:rFonts w:cstheme="minorHAnsi"/>
                <w:szCs w:val="18"/>
              </w:rPr>
              <w:t>Dispõe sobre procedimentos para anuência do uso</w:t>
            </w:r>
            <w:r>
              <w:rPr>
                <w:rFonts w:cstheme="minorHAnsi"/>
                <w:szCs w:val="18"/>
              </w:rPr>
              <w:t xml:space="preserve"> </w:t>
            </w:r>
            <w:r w:rsidRPr="001F6722">
              <w:rPr>
                <w:rFonts w:cstheme="minorHAnsi"/>
                <w:szCs w:val="18"/>
              </w:rPr>
              <w:t>de áreas em projetos de assentamento do Incra,</w:t>
            </w:r>
            <w:r>
              <w:rPr>
                <w:rFonts w:cstheme="minorHAnsi"/>
                <w:szCs w:val="18"/>
              </w:rPr>
              <w:t xml:space="preserve"> </w:t>
            </w:r>
            <w:r w:rsidRPr="001F6722">
              <w:rPr>
                <w:rFonts w:cstheme="minorHAnsi"/>
                <w:szCs w:val="18"/>
              </w:rPr>
              <w:t xml:space="preserve">por atividades ou </w:t>
            </w:r>
            <w:proofErr w:type="spellStart"/>
            <w:r w:rsidRPr="001F6722">
              <w:rPr>
                <w:rFonts w:cstheme="minorHAnsi"/>
                <w:szCs w:val="18"/>
              </w:rPr>
              <w:t>empreendimentos</w:t>
            </w:r>
            <w:proofErr w:type="spellEnd"/>
            <w:r w:rsidRPr="001F6722">
              <w:rPr>
                <w:rFonts w:cstheme="minorHAnsi"/>
                <w:szCs w:val="18"/>
              </w:rPr>
              <w:t xml:space="preserve"> minerários, de</w:t>
            </w:r>
          </w:p>
          <w:p w14:paraId="609157E0" w14:textId="3617AF2D" w:rsidR="001C6728" w:rsidRPr="00F34211" w:rsidRDefault="001F6722" w:rsidP="001F6722">
            <w:pPr>
              <w:spacing w:before="0" w:after="0"/>
              <w:jc w:val="left"/>
              <w:rPr>
                <w:rFonts w:cstheme="minorHAnsi"/>
                <w:szCs w:val="18"/>
              </w:rPr>
            </w:pPr>
            <w:r w:rsidRPr="001F6722">
              <w:rPr>
                <w:rFonts w:cstheme="minorHAnsi"/>
                <w:szCs w:val="18"/>
              </w:rPr>
              <w:t>energia e de infraestrutura</w:t>
            </w:r>
            <w:r>
              <w:rPr>
                <w:rFonts w:cstheme="minorHAnsi"/>
                <w:szCs w:val="18"/>
              </w:rPr>
              <w:t xml:space="preserve">. </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47, de 2006 – Dispõe sobre o código de obras do município de Curitibanos e dá outras providências.</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t>Lei Complementar nº 18 de 22/12/2006 – Institui o Plano Diretor Participativo do município de Mafra e dá outras providências.</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t>Lei Complementar nº 02 de 26/06/2009 – Institui o Plano Diretor do município de Monte Castelo e dá outras providências.</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EC3562">
              <w:rPr>
                <w:rFonts w:cstheme="minorHAnsi"/>
                <w:szCs w:val="18"/>
              </w:rPr>
              <w:t>11</w:t>
            </w:r>
            <w:r w:rsidRPr="0045598C">
              <w:rPr>
                <w:rFonts w:cstheme="minorHAnsi"/>
                <w:szCs w:val="18"/>
              </w:rPr>
              <w:t xml:space="preserve"> de </w:t>
            </w:r>
            <w:r w:rsidR="009B76F8">
              <w:rPr>
                <w:rFonts w:cstheme="minorHAnsi"/>
                <w:szCs w:val="18"/>
              </w:rPr>
              <w:t>27/11/</w:t>
            </w:r>
            <w:r w:rsidR="007F5387">
              <w:rPr>
                <w:rFonts w:cstheme="minorHAnsi"/>
                <w:szCs w:val="18"/>
              </w:rPr>
              <w:t xml:space="preserve">2003 </w:t>
            </w:r>
            <w:r w:rsidR="007F5387" w:rsidRPr="0045598C">
              <w:rPr>
                <w:rFonts w:cstheme="minorHAnsi"/>
                <w:szCs w:val="18"/>
              </w:rPr>
              <w:t>–</w:t>
            </w:r>
            <w:r w:rsidRPr="0045598C">
              <w:rPr>
                <w:rFonts w:cstheme="minorHAnsi"/>
                <w:szCs w:val="18"/>
              </w:rPr>
              <w:t xml:space="preserve"> Institui o Plano Diretor </w:t>
            </w:r>
            <w:r w:rsidR="009B76F8">
              <w:rPr>
                <w:rFonts w:cstheme="minorHAnsi"/>
                <w:szCs w:val="18"/>
              </w:rPr>
              <w:t>Físico Territorial, dispõe sobre as normas, fixa obje</w:t>
            </w:r>
            <w:r w:rsidR="007F5387">
              <w:rPr>
                <w:rFonts w:cstheme="minorHAnsi"/>
                <w:szCs w:val="18"/>
              </w:rPr>
              <w:t xml:space="preserve">tivos e diretrizes urbanísticas de vargem e dá outras providências. </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17/03/2020.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rsidRPr="000D1940">
        <w:rPr>
          <w:lang w:eastAsia="pt-BR"/>
        </w:rPr>
        <w:t>Os empreendimentos de transmissão de energia do porte da futura LT 525</w:t>
      </w:r>
      <w:r w:rsidR="00EB1172">
        <w:rPr>
          <w:lang w:eastAsia="pt-BR"/>
        </w:rPr>
        <w:t xml:space="preserve"> Abdon Batista – Curitiba Oeste e Subestação Curitiba Oeste</w:t>
      </w:r>
      <w:r w:rsidRPr="000D1940">
        <w:rPr>
          <w:lang w:eastAsia="pt-BR"/>
        </w:rPr>
        <w:t>,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conforme atualização de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Fixa as condições exigíveis na consideração das forças decorrentes da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com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t>Fixa as condições exigíveis para projeto, construção e operação de sistemas de tanques sépticos, incluindo o tratamento e a disposição de efluentes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9.648/1998, 10.438/2002, 10.848/2004 e 12.111/2009.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das Leis 9.074/95 e 9.427/96 e autoriza o Poder Executivo a promover a reestruturação da Centrais Elétricas Brasileiras - ELETROBRÁS e de suas subsidiárias. Alterada pelas Leis 10.438/02, 10.848/04 e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cujas finalidades são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t>ABNT NBR 14653-01:2001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rsidRPr="00DF7244">
              <w:rPr>
                <w:rFonts w:cstheme="minorHAnsi"/>
                <w:szCs w:val="18"/>
              </w:rPr>
              <w:t xml:space="preserve">Prescreve o método de verificação do poder </w:t>
            </w:r>
            <w:proofErr w:type="spellStart"/>
            <w:r w:rsidRPr="00DF7244">
              <w:rPr>
                <w:rFonts w:cstheme="minorHAnsi"/>
                <w:szCs w:val="18"/>
              </w:rPr>
              <w:t>desaguante</w:t>
            </w:r>
            <w:proofErr w:type="spellEnd"/>
            <w:r w:rsidRPr="00DF7244">
              <w:rPr>
                <w:rFonts w:cstheme="minorHAnsi"/>
                <w:szCs w:val="18"/>
              </w:rPr>
              <w:t xml:space="preserve"> de protetivos temporários contra corrosão sobre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a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ou instituição de servidão administrativa, de áreas de terra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Altera as Leis nº 9.074/1995, nº 9.427/1996, nº 9.648/1998 e nº 10.438/2002. Alterada pela Lei nº 12.111/2009.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t>Regulamenta os arts. 4º e 5º da Lei no 10.848/04, e dispõe sobre a organização, as atribuições e o funcionamento da Câmara de Comercialização de Energia Elétrica (CCEE). Alterado pelo Decreto no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Estabelece critérios mínimos para a sinalização de advertências em linhas aéreas de transmissão de energia elétrica, doravante designadas como linhas ou LT, relativos à segurança física e operacional dessas e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t>Fixa os critérios mínimos para sinalização de linhas de transmissão de energia elétrica aéreas (LT), voltados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a prorrogação das concessões de uso do bem público dos empreendimentos de geração de energia elétrica, conforme o art. 17 da Lei nº 10.848/04. Altera o Decreto nº 5.163/04. É alterado pelo Decreto nº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verificação da segurança das estruturas usuais da construção civil em relação às ações sísmicas, bem como os critérios para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sua prestação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rsidRPr="00DF7244">
              <w:rPr>
                <w:rFonts w:cstheme="minorHAnsi"/>
                <w:szCs w:val="18"/>
              </w:rPr>
              <w:t>Altera as condições gerais da prestação de transmissão e contratação do acesso, compreendendo os Contratos de Prestação do Serviço de Transmissão (CPST), Contratos de Uso de Sistemas e Transmissão (CUST) e dos Contratos de Conexão ao Sistema de Transmissão (CCST) vinculadas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nº 5.163, de 2004,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obrigatórios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requisitos para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10.848/04, altera o art. 44 do Decreto nº 5.163/04 e o art. 2º do Decreto nº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Estabelece as condições exigíveis para a fabricação, qualificação, aceitação e/ou recebimento de cabos de alumínio nus (CA), destinados 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rsidRPr="00DF7244">
              <w:rPr>
                <w:rFonts w:cstheme="minorHAnsi"/>
                <w:szCs w:val="18"/>
              </w:rP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Fornecer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além de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t>Regulamenta a Lei nº 12.783, de 11 de janeiro de 2013, que dispõe sobre as concessões de geração, transmissão e distribuição de energia elétrica, sobre a redução dos encargos setoriais 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assegurando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t>Resolução ANEEL nº 616/2014</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t>Estabelece os requisitos para 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