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Genus </w:t>
      </w:r>
      <w:r w:rsidDel="00000000" w:rsidR="00000000" w:rsidRPr="00000000">
        <w:rPr>
          <w:b w:val="1"/>
          <w:i w:val="1"/>
          <w:color w:val="231f20"/>
          <w:rtl w:val="0"/>
        </w:rPr>
        <w:t xml:space="preserve">Mesacanthoides</w:t>
      </w:r>
      <w:r w:rsidDel="00000000" w:rsidR="00000000" w:rsidRPr="00000000">
        <w:rPr>
          <w:b w:val="1"/>
          <w:color w:val="231f20"/>
          <w:rtl w:val="0"/>
        </w:rPr>
        <w:t xml:space="preserve"> Wieser, 1953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alibri" w:cs="Calibri" w:eastAsia="Calibri" w:hAnsi="Calibri"/>
          <w:i w:val="1"/>
          <w:color w:val="231f20"/>
          <w:sz w:val="22"/>
          <w:szCs w:val="22"/>
          <w:rtl w:val="0"/>
        </w:rPr>
        <w:t xml:space="preserve">Diagnosis </w:t>
      </w:r>
      <w:r w:rsidDel="00000000" w:rsidR="00000000" w:rsidRPr="00000000">
        <w:rPr>
          <w:color w:val="231f20"/>
          <w:rtl w:val="0"/>
        </w:rPr>
        <w:t xml:space="preserve">(from Souza &amp; Maria, 2023): </w:t>
      </w:r>
      <w:r w:rsidDel="00000000" w:rsidR="00000000" w:rsidRPr="00000000">
        <w:rPr>
          <w:rtl w:val="0"/>
        </w:rPr>
        <w:t xml:space="preserve">Enoplolaiminae. Transition between </w:t>
      </w:r>
      <w:r w:rsidDel="00000000" w:rsidR="00000000" w:rsidRPr="00000000">
        <w:rPr>
          <w:i w:val="1"/>
          <w:rtl w:val="0"/>
        </w:rPr>
        <w:t xml:space="preserve">Mesacanthion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Enoploides</w:t>
      </w:r>
      <w:r w:rsidDel="00000000" w:rsidR="00000000" w:rsidRPr="00000000">
        <w:rPr>
          <w:rtl w:val="0"/>
        </w:rPr>
        <w:t xml:space="preserve">. Lips striated or not striated. Mandibles solid or dense mottled with claws. Teeth shorter than mandibles. Marine.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Type species: </w:t>
      </w:r>
      <w:r w:rsidDel="00000000" w:rsidR="00000000" w:rsidRPr="00000000">
        <w:rPr>
          <w:i w:val="1"/>
          <w:color w:val="231f20"/>
          <w:rtl w:val="0"/>
        </w:rPr>
        <w:t xml:space="preserve">Mesacanthoides sculptilis Wieser, 1953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240" w:line="240" w:lineRule="auto"/>
        <w:ind w:left="284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Souza, J. V. D.; Maria, T. F. (2023). Taxonomic review of Thoracostomopsidae (Nematoda, Enoplida): state of the art, list of valid species and dichotomous keys. Zootaxa. 5361(4): 463-496., available online at </w:t>
      </w:r>
      <w:hyperlink r:id="rId7">
        <w:r w:rsidDel="00000000" w:rsidR="00000000" w:rsidRPr="00000000">
          <w:rPr>
            <w:i w:val="1"/>
            <w:sz w:val="20"/>
            <w:szCs w:val="20"/>
            <w:rtl w:val="0"/>
          </w:rPr>
          <w:t xml:space="preserve">https://doi.org/10.11646/zootaxa.5361.4.2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240" w:line="240" w:lineRule="auto"/>
        <w:ind w:left="284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240" w:line="240" w:lineRule="auto"/>
    </w:pPr>
    <w:rPr>
      <w:b w:val="1"/>
      <w:i w:val="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240" w:line="240" w:lineRule="auto"/>
    </w:pPr>
    <w:rPr>
      <w:b w:val="1"/>
      <w:i w:val="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90B54"/>
    <w:pPr>
      <w:jc w:val="both"/>
    </w:pPr>
  </w:style>
  <w:style w:type="paragraph" w:styleId="Ttulo2">
    <w:name w:val="heading 2"/>
    <w:basedOn w:val="Ttulo2Itlico"/>
    <w:next w:val="Normal"/>
    <w:link w:val="Ttulo2Char"/>
    <w:uiPriority w:val="9"/>
    <w:unhideWhenUsed w:val="1"/>
    <w:qFormat w:val="1"/>
    <w:rsid w:val="00090B54"/>
    <w:pPr>
      <w:outlineLvl w:val="1"/>
    </w:pPr>
    <w:rPr>
      <w:i w:val="0"/>
      <w:iCs w:val="0"/>
      <w:lang w:val="en-US"/>
    </w:rPr>
  </w:style>
  <w:style w:type="character" w:styleId="Fontepargpadro" w:default="1">
    <w:name w:val="Default Paragraph Font"/>
    <w:uiPriority w:val="1"/>
    <w:semiHidden w:val="1"/>
    <w:unhideWhenUsed w:val="1"/>
    <w:rsid w:val="00090B54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  <w:rsid w:val="00090B54"/>
  </w:style>
  <w:style w:type="character" w:styleId="Ttulo2Char" w:customStyle="1">
    <w:name w:val="Título 2 Char"/>
    <w:basedOn w:val="Fontepargpadro"/>
    <w:link w:val="Ttulo2"/>
    <w:uiPriority w:val="9"/>
    <w:rsid w:val="00090B54"/>
    <w:rPr>
      <w:b w:val="1"/>
      <w:lang w:val="en-US"/>
    </w:rPr>
  </w:style>
  <w:style w:type="paragraph" w:styleId="Ttulo1" w:customStyle="1">
    <w:name w:val="Título1"/>
    <w:basedOn w:val="Normal"/>
    <w:qFormat w:val="1"/>
    <w:rsid w:val="00090B54"/>
    <w:pPr>
      <w:spacing w:after="240"/>
    </w:pPr>
    <w:rPr>
      <w:rFonts w:cs="DGMetaScience-Bold" w:eastAsia="DGMetaScience-Bold"/>
      <w:b w:val="1"/>
      <w:bCs w:val="1"/>
      <w:sz w:val="24"/>
      <w:szCs w:val="24"/>
      <w:lang w:val="en-US"/>
    </w:rPr>
  </w:style>
  <w:style w:type="character" w:styleId="NormailItalico" w:customStyle="1">
    <w:name w:val="Normail Italico"/>
    <w:basedOn w:val="Fontepargpadro"/>
    <w:rsid w:val="00090B54"/>
    <w:rPr>
      <w:rFonts w:ascii="Calibri" w:hAnsi="Calibri"/>
      <w:i w:val="1"/>
      <w:iCs w:val="1"/>
      <w:color w:val="231f20"/>
      <w:sz w:val="22"/>
    </w:rPr>
  </w:style>
  <w:style w:type="character" w:styleId="NormalItalico" w:customStyle="1">
    <w:name w:val="Normal Italico"/>
    <w:basedOn w:val="Fontepargpadro"/>
    <w:qFormat w:val="1"/>
    <w:rsid w:val="00090B54"/>
    <w:rPr>
      <w:rFonts w:ascii="Calibri" w:hAnsi="Calibri"/>
      <w:i w:val="1"/>
      <w:iCs w:val="1"/>
      <w:color w:val="231f20"/>
      <w:sz w:val="22"/>
    </w:rPr>
  </w:style>
  <w:style w:type="paragraph" w:styleId="Ttulo2Itlico" w:customStyle="1">
    <w:name w:val="Título 2 + Itálico"/>
    <w:basedOn w:val="Normal"/>
    <w:next w:val="Normal"/>
    <w:qFormat w:val="1"/>
    <w:rsid w:val="00090B54"/>
    <w:pPr>
      <w:spacing w:after="240" w:line="240" w:lineRule="auto"/>
    </w:pPr>
    <w:rPr>
      <w:b w:val="1"/>
      <w:i w:val="1"/>
      <w:iCs w:val="1"/>
    </w:rPr>
  </w:style>
  <w:style w:type="paragraph" w:styleId="SemEspaamento">
    <w:name w:val="No Spacing"/>
    <w:aliases w:val="Referências"/>
    <w:next w:val="Bibliografia"/>
    <w:uiPriority w:val="1"/>
    <w:qFormat w:val="1"/>
    <w:rsid w:val="00090B54"/>
    <w:pPr>
      <w:spacing w:after="120" w:before="240" w:line="240" w:lineRule="auto"/>
      <w:ind w:left="284" w:hanging="284"/>
      <w:jc w:val="both"/>
    </w:pPr>
    <w:rPr>
      <w:rFonts w:ascii="Calibri" w:hAnsi="Calibri"/>
      <w:i w:val="1"/>
      <w:sz w:val="20"/>
    </w:rPr>
  </w:style>
  <w:style w:type="paragraph" w:styleId="Bibliografia">
    <w:name w:val="Bibliography"/>
    <w:basedOn w:val="Normal"/>
    <w:next w:val="Normal"/>
    <w:uiPriority w:val="37"/>
    <w:semiHidden w:val="1"/>
    <w:unhideWhenUsed w:val="1"/>
    <w:rsid w:val="00090B54"/>
  </w:style>
  <w:style w:type="paragraph" w:styleId="Ttulo2ItlicoNoItlico" w:customStyle="1">
    <w:name w:val="Título 2 + Itálico + Não Itálico"/>
    <w:basedOn w:val="Ttulo2Itlico"/>
    <w:qFormat w:val="1"/>
    <w:rsid w:val="00090B54"/>
    <w:pPr>
      <w:spacing w:after="120" w:before="240"/>
    </w:pPr>
    <w:rPr>
      <w:bCs w:val="1"/>
      <w:i w:val="0"/>
      <w:iCs w:val="0"/>
    </w:rPr>
  </w:style>
  <w:style w:type="character" w:styleId="nfaseIntensa">
    <w:name w:val="Intense Emphasis"/>
    <w:basedOn w:val="Fontepargpadro"/>
    <w:uiPriority w:val="21"/>
    <w:qFormat w:val="1"/>
    <w:rsid w:val="00090B54"/>
    <w:rPr>
      <w:i w:val="1"/>
      <w:iCs w:val="1"/>
      <w:color w:val="4472c4" w:themeColor="accent1"/>
    </w:rPr>
  </w:style>
  <w:style w:type="character" w:styleId="RefernciaIntensa">
    <w:name w:val="Intense Reference"/>
    <w:basedOn w:val="Fontepargpadro"/>
    <w:uiPriority w:val="32"/>
    <w:qFormat w:val="1"/>
    <w:rsid w:val="00090B54"/>
    <w:rPr>
      <w:b w:val="1"/>
      <w:bCs w:val="1"/>
      <w:smallCaps w:val="1"/>
      <w:color w:val="4472c4" w:themeColor="accent1"/>
      <w:spacing w:val="5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i.org/10.11646/zootaxa.5361.4.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TKaeNJtfNKontL52pJ/12NL8LQ==">CgMxLjA4AHIhMWFOMDFzR0h0U0xfVGZQb3g3SlZXeGpNdW5ud0wtUTcx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2023-04-10T12:26:00Z</dcterms:created>
  <dc:creator>Paula Gheller</dc:creator>
</cp:coreProperties>
</file>