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w:t>
      </w:r>
      <w:proofErr w:type="spellStart"/>
      <w:r w:rsidRPr="0056376D">
        <w:rPr>
          <w:lang w:val="es-419"/>
        </w:rPr>
        <w:t>Binary</w:t>
      </w:r>
      <w:proofErr w:type="spellEnd"/>
      <w:r w:rsidRPr="0056376D">
        <w:rPr>
          <w:lang w:val="es-419"/>
        </w:rPr>
        <w:t xml:space="preserve"> </w:t>
      </w:r>
      <w:proofErr w:type="spellStart"/>
      <w:r w:rsidRPr="0056376D">
        <w:rPr>
          <w:lang w:val="es-419"/>
        </w:rPr>
        <w:t>Knapsack</w:t>
      </w:r>
      <w:proofErr w:type="spellEnd"/>
      <w:r w:rsidRPr="0056376D">
        <w:rPr>
          <w:lang w:val="es-419"/>
        </w:rPr>
        <w:t xml:space="preserve"> </w:t>
      </w:r>
      <w:proofErr w:type="spellStart"/>
      <w:r w:rsidRPr="0056376D">
        <w:rPr>
          <w:lang w:val="es-419"/>
        </w:rPr>
        <w:t>Problem</w:t>
      </w:r>
      <w:proofErr w:type="spellEnd"/>
      <w:r w:rsidRPr="0056376D">
        <w:rPr>
          <w:lang w:val="es-419"/>
        </w:rPr>
        <w:t>, BKP), el problema de la suma de subconjuntos (P</w:t>
      </w:r>
      <w:r w:rsidRPr="0056376D">
        <w:rPr>
          <w:vertAlign w:val="subscript"/>
          <w:lang w:val="es-419"/>
        </w:rPr>
        <w:t>i</w:t>
      </w:r>
      <w:r w:rsidRPr="0056376D">
        <w:rPr>
          <w:lang w:val="es-419"/>
        </w:rPr>
        <w:t xml:space="preserve"> = </w:t>
      </w:r>
      <w:proofErr w:type="spellStart"/>
      <w:r w:rsidRPr="0056376D">
        <w:rPr>
          <w:lang w:val="es-419"/>
        </w:rPr>
        <w:t>W</w:t>
      </w:r>
      <w:r w:rsidRPr="0056376D">
        <w:rPr>
          <w:vertAlign w:val="subscript"/>
          <w:lang w:val="es-419"/>
        </w:rPr>
        <w:t>i</w:t>
      </w:r>
      <w:proofErr w:type="spellEnd"/>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A la fecha se han desarrollado una variedad de técnicas para resolver las diferentes variantes del problema de la mochila, las cuales se pueden agrupar de la siguientes manera: (i) exactos, (</w:t>
      </w:r>
      <w:proofErr w:type="spellStart"/>
      <w:r w:rsidRPr="0056376D">
        <w:rPr>
          <w:lang w:val="es-419"/>
        </w:rPr>
        <w:t>ii</w:t>
      </w:r>
      <w:proofErr w:type="spellEnd"/>
      <w:r w:rsidRPr="0056376D">
        <w:rPr>
          <w:lang w:val="es-419"/>
        </w:rPr>
        <w:t>) programación dinámica, (</w:t>
      </w:r>
      <w:proofErr w:type="spellStart"/>
      <w:r w:rsidRPr="0056376D">
        <w:rPr>
          <w:lang w:val="es-419"/>
        </w:rPr>
        <w:t>iii</w:t>
      </w:r>
      <w:proofErr w:type="spellEnd"/>
      <w:r w:rsidRPr="0056376D">
        <w:rPr>
          <w:lang w:val="es-419"/>
        </w:rPr>
        <w:t>) programación entera, (</w:t>
      </w:r>
      <w:proofErr w:type="spellStart"/>
      <w:r w:rsidRPr="0056376D">
        <w:rPr>
          <w:lang w:val="es-419"/>
        </w:rPr>
        <w:t>iv</w:t>
      </w:r>
      <w:proofErr w:type="spellEnd"/>
      <w:r w:rsidRPr="0056376D">
        <w:rPr>
          <w:lang w:val="es-419"/>
        </w:rPr>
        <w:t>) métodos metaheurísticos, (v) métodos lagrangianos, (vi) métodos basados en árboles de búsqueda con back tracking y (</w:t>
      </w:r>
      <w:proofErr w:type="spellStart"/>
      <w:r w:rsidRPr="0056376D">
        <w:rPr>
          <w:lang w:val="es-419"/>
        </w:rPr>
        <w:t>vii</w:t>
      </w:r>
      <w:proofErr w:type="spellEnd"/>
      <w:r w:rsidRPr="0056376D">
        <w:rPr>
          <w:lang w:val="es-419"/>
        </w:rPr>
        <w:t xml:space="preserve">)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proofErr w:type="spellStart"/>
      <w:r w:rsidRPr="0056376D">
        <w:rPr>
          <w:b/>
          <w:bCs/>
          <w:lang w:val="es-419"/>
        </w:rPr>
        <w:t>W</w:t>
      </w:r>
      <w:r w:rsidRPr="0056376D">
        <w:rPr>
          <w:b/>
          <w:bCs/>
          <w:vertAlign w:val="subscript"/>
          <w:lang w:val="es-419"/>
        </w:rPr>
        <w:t>i</w:t>
      </w:r>
      <w:proofErr w:type="spellEnd"/>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CF4C4E"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w:t>
      </w:r>
      <w:proofErr w:type="spellStart"/>
      <w:r w:rsidRPr="0056376D">
        <w:rPr>
          <w:lang w:val="es-ES_tradnl"/>
        </w:rPr>
        <w:t>Von</w:t>
      </w:r>
      <w:proofErr w:type="spellEnd"/>
      <w:r w:rsidRPr="0056376D">
        <w:rPr>
          <w:lang w:val="es-ES_tradnl"/>
        </w:rPr>
        <w:t xml:space="preserve">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6B7011B2"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w:t>
      </w:r>
      <w:r w:rsidR="00240296">
        <w:rPr>
          <w:rFonts w:ascii="Arial" w:hAnsi="Arial" w:cs="Arial"/>
          <w:b/>
          <w:bCs/>
          <w:color w:val="000000" w:themeColor="text1"/>
          <w:sz w:val="22"/>
          <w:szCs w:val="22"/>
        </w:rPr>
        <w:t>Y</w:t>
      </w:r>
      <w:r w:rsidRPr="007B1D0D">
        <w:rPr>
          <w:rFonts w:ascii="Arial" w:hAnsi="Arial" w:cs="Arial"/>
          <w:b/>
          <w:bCs/>
          <w:color w:val="000000" w:themeColor="text1"/>
          <w:sz w:val="22"/>
          <w:szCs w:val="22"/>
        </w:rPr>
        <w:t>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 xml:space="preserve">Definir un algoritmo cuántico y su implementación en Python sobre </w:t>
      </w:r>
      <w:proofErr w:type="spellStart"/>
      <w:r w:rsidRPr="0056376D">
        <w:t>Qiskit</w:t>
      </w:r>
      <w:r w:rsidRPr="0056376D">
        <w:rPr>
          <w:vertAlign w:val="superscript"/>
        </w:rPr>
        <w:t>TM</w:t>
      </w:r>
      <w:proofErr w:type="spellEnd"/>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6CDCFE91"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58702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1B6F4210" w:rsidR="00755C4A" w:rsidRPr="00755C4A" w:rsidRDefault="00755C4A" w:rsidP="00755C4A">
      <w:pPr>
        <w:pStyle w:val="Prrafodelista"/>
        <w:numPr>
          <w:ilvl w:val="0"/>
          <w:numId w:val="5"/>
        </w:numPr>
        <w:spacing w:after="160" w:line="259" w:lineRule="auto"/>
        <w:rPr>
          <w:b/>
          <w:bCs/>
        </w:rPr>
      </w:pPr>
      <w:r>
        <w:rPr>
          <w:b/>
          <w:bCs/>
        </w:rPr>
        <w:t xml:space="preserve">Ponencia: </w:t>
      </w:r>
      <w:r>
        <w:t xml:space="preserve">el </w:t>
      </w:r>
      <w:proofErr w:type="spellStart"/>
      <w:r>
        <w:t>articulo</w:t>
      </w:r>
      <w:proofErr w:type="spellEnd"/>
      <w:r>
        <w:t xml:space="preserve">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 xml:space="preserve">Revista Ibérica de Sistemas e </w:t>
      </w:r>
      <w:proofErr w:type="spellStart"/>
      <w:r w:rsidR="001A7655">
        <w:t>Tecnologias</w:t>
      </w:r>
      <w:proofErr w:type="spellEnd"/>
      <w:r w:rsidR="001A7655">
        <w:t xml:space="preserve"> de </w:t>
      </w:r>
      <w:proofErr w:type="spellStart"/>
      <w:r w:rsidR="001A7655">
        <w:t>Informação</w:t>
      </w:r>
      <w:proofErr w:type="spellEnd"/>
      <w:r w:rsidR="001A7655">
        <w:t xml:space="preserve"> - </w:t>
      </w:r>
      <w:proofErr w:type="spellStart"/>
      <w:r w:rsidR="001A7655">
        <w:t>Risti</w:t>
      </w:r>
      <w:proofErr w:type="spellEnd"/>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w:t>
      </w:r>
      <w:proofErr w:type="spellStart"/>
      <w:r w:rsidRPr="00975B36">
        <w:rPr>
          <w:rFonts w:eastAsia="Arial" w:cs="Arial"/>
        </w:rPr>
        <w:t>Knowledge-Based</w:t>
      </w:r>
      <w:proofErr w:type="spellEnd"/>
      <w:r w:rsidRPr="00975B36">
        <w:rPr>
          <w:rFonts w:eastAsia="Arial" w:cs="Arial"/>
        </w:rPr>
        <w:t xml:space="preserve"> </w:t>
      </w:r>
      <w:proofErr w:type="spellStart"/>
      <w:r w:rsidRPr="00975B36">
        <w:rPr>
          <w:rFonts w:eastAsia="Arial" w:cs="Arial"/>
        </w:rPr>
        <w:t>Systems</w:t>
      </w:r>
      <w:proofErr w:type="spellEnd"/>
      <w:r w:rsidRPr="00975B36">
        <w:rPr>
          <w:rFonts w:eastAsia="Arial" w:cs="Arial"/>
        </w:rPr>
        <w:t xml:space="preserve"> o </w:t>
      </w:r>
      <w:proofErr w:type="spellStart"/>
      <w:r w:rsidRPr="00975B36">
        <w:rPr>
          <w:rFonts w:eastAsia="Arial" w:cs="Arial"/>
        </w:rPr>
        <w:t>Information</w:t>
      </w:r>
      <w:proofErr w:type="spellEnd"/>
      <w:r w:rsidRPr="00975B36">
        <w:rPr>
          <w:rFonts w:eastAsia="Arial" w:cs="Arial"/>
        </w:rPr>
        <w:t xml:space="preserve"> </w:t>
      </w:r>
      <w:proofErr w:type="spellStart"/>
      <w:r w:rsidRPr="00975B36">
        <w:rPr>
          <w:rFonts w:eastAsia="Arial" w:cs="Arial"/>
        </w:rPr>
        <w:t>Sciences</w:t>
      </w:r>
      <w:proofErr w:type="spellEnd"/>
      <w:r w:rsidRPr="00975B36">
        <w:rPr>
          <w:rFonts w:eastAsia="Arial" w:cs="Arial"/>
        </w:rPr>
        <w:t xml:space="preserve">.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7777777"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Pr="0056376D">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[19]","plainTextFormattedCitation":"[19]","previouslyFormattedCitation":"[19]"},"properties":{"noteIndex":0},"schema":"https://github.com/citation-style-language/schema/raw/master/csl-citation.json"}</w:instrText>
      </w:r>
      <w:r w:rsidRPr="00630316">
        <w:rPr>
          <w:lang w:val="es-ES_tradnl"/>
        </w:rPr>
        <w:fldChar w:fldCharType="separate"/>
      </w:r>
      <w:r w:rsidRPr="0056376D">
        <w:rPr>
          <w:noProof/>
          <w:lang w:val="es-ES_tradnl"/>
        </w:rPr>
        <w:t>[19]</w:t>
      </w:r>
      <w:r w:rsidRPr="00630316">
        <w:rPr>
          <w:lang w:val="es-ES_tradnl"/>
        </w:rPr>
        <w:fldChar w:fldCharType="end"/>
      </w:r>
      <w:r w:rsidRPr="0056376D">
        <w:rPr>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56376D">
        <w:rPr>
          <w:lang w:val="es-ES_tradnl"/>
        </w:rPr>
        <w:t>Bra-Ket</w:t>
      </w:r>
      <w:proofErr w:type="spellEnd"/>
      <w:r w:rsidRPr="0056376D">
        <w:rPr>
          <w:lang w:val="es-ES_tradnl"/>
        </w:rPr>
        <w:t xml:space="preserve">)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77777777"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Pr="0056376D">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Pr="0056376D">
        <w:rPr>
          <w:noProof/>
          <w:lang w:val="es-ES_tradnl"/>
        </w:rPr>
        <w:t>[20]</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w:t>
      </w:r>
      <w:proofErr w:type="spellStart"/>
      <w:r w:rsidRPr="0056376D">
        <w:rPr>
          <w:lang w:val="es-ES_tradnl"/>
        </w:rPr>
        <w:t>ial</w:t>
      </w:r>
      <w:proofErr w:type="spellEnd"/>
      <w:r w:rsidRPr="0056376D">
        <w:rPr>
          <w:lang w:val="es-ES_tradnl"/>
        </w:rPr>
        <w:t xml:space="preserve">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77777777"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w:t>
      </w:r>
      <w:proofErr w:type="spellStart"/>
      <w:r w:rsidRPr="0056376D">
        <w:rPr>
          <w:lang w:val="es-ES_tradnl"/>
        </w:rPr>
        <w:t>Shore’s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Pr="0056376D">
        <w:rPr>
          <w:noProof/>
          <w:lang w:val="es-ES_tradnl"/>
        </w:rPr>
        <w:t>[21]</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w:t>
      </w:r>
      <w:proofErr w:type="spellStart"/>
      <w:r w:rsidRPr="0056376D">
        <w:rPr>
          <w:lang w:val="es-ES_tradnl"/>
        </w:rPr>
        <w:t>Grover’s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Pr="0056376D">
        <w:rPr>
          <w:noProof/>
          <w:lang w:val="es-ES_tradnl"/>
        </w:rPr>
        <w:t>[22]</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Pr="0056376D">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Pr="0056376D">
        <w:rPr>
          <w:noProof/>
          <w:lang w:val="es-ES_tradnl"/>
        </w:rPr>
        <w:t>[23]</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34EE2EE2"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proofErr w:type="spellStart"/>
      <w:r w:rsidRPr="0056376D">
        <w:rPr>
          <w:lang w:val="es-419"/>
        </w:rPr>
        <w:t>Adiabatic</w:t>
      </w:r>
      <w:proofErr w:type="spellEnd"/>
      <w:r w:rsidRPr="0056376D">
        <w:rPr>
          <w:lang w:val="es-419"/>
        </w:rPr>
        <w:t xml:space="preserve"> Quantum </w:t>
      </w:r>
      <w:proofErr w:type="spellStart"/>
      <w:r w:rsidRPr="0056376D">
        <w:rPr>
          <w:lang w:val="es-419"/>
        </w:rPr>
        <w:t>Computation</w:t>
      </w:r>
      <w:proofErr w:type="spellEnd"/>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77777777"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 xml:space="preserve">Quantum </w:t>
      </w:r>
      <w:proofErr w:type="spellStart"/>
      <w:r w:rsidRPr="0056376D">
        <w:rPr>
          <w:lang w:val="es-419"/>
        </w:rPr>
        <w:t>Annealing</w:t>
      </w:r>
      <w:proofErr w:type="spellEnd"/>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proofErr w:type="spellStart"/>
      <w:r w:rsidRPr="0056376D">
        <w:rPr>
          <w:lang w:val="es-419"/>
        </w:rPr>
        <w:t>Simulating</w:t>
      </w:r>
      <w:proofErr w:type="spellEnd"/>
      <w:r w:rsidRPr="0056376D">
        <w:rPr>
          <w:lang w:val="es-419"/>
        </w:rPr>
        <w:t xml:space="preserve"> </w:t>
      </w:r>
      <w:proofErr w:type="spellStart"/>
      <w:r w:rsidRPr="0056376D">
        <w:rPr>
          <w:lang w:val="es-419"/>
        </w:rPr>
        <w:t>annealing</w:t>
      </w:r>
      <w:proofErr w:type="spellEnd"/>
      <w:r w:rsidRPr="0056376D">
        <w:rPr>
          <w:lang w:val="es-ES_tradnl"/>
        </w:rPr>
        <w:t xml:space="preserve">, SA). Muchos de estos enfoques transforman un problema computacional en un problema donde se debe encontrar el estado fundamental de un modelo Ising Spin </w:t>
      </w:r>
      <w:proofErr w:type="spellStart"/>
      <w:r w:rsidRPr="0056376D">
        <w:rPr>
          <w:lang w:val="es-ES_tradnl"/>
        </w:rPr>
        <w:t>Glass</w:t>
      </w:r>
      <w:proofErr w:type="spellEnd"/>
      <w:r w:rsidRPr="0056376D">
        <w:rPr>
          <w:lang w:val="es-ES_tradnl"/>
        </w:rPr>
        <w:t xml:space="preserve"> (ISG) cuántico, el cual, en el peor de los casos es un problema NP-completo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7DD8CEE3" w:rsidR="004D4C36" w:rsidRDefault="004D4C36" w:rsidP="004D4C36">
      <w:pPr>
        <w:rPr>
          <w:lang w:val="es-ES_tradnl"/>
        </w:rPr>
      </w:pPr>
      <w:r w:rsidRPr="0056376D">
        <w:rPr>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56376D">
        <w:rPr>
          <w:lang w:val="es-ES_tradnl"/>
        </w:rPr>
        <w:t>hard</w:t>
      </w:r>
      <w:proofErr w:type="spellEnd"/>
      <w:r w:rsidRPr="0056376D">
        <w:rPr>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56376D">
        <w:rPr>
          <w:lang w:val="es-ES_tradnl"/>
        </w:rPr>
        <w:t>a</w:t>
      </w:r>
      <w:proofErr w:type="spellEnd"/>
      <w:r w:rsidRPr="0056376D">
        <w:rPr>
          <w:lang w:val="es-ES_tradnl"/>
        </w:rPr>
        <w:t xml:space="preserve"> un estado B no contiguo para evitar estancarse en óptimos locales)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7777777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r w:rsidRPr="00DA14C2">
        <w:rPr>
          <w:lang w:val="es-ES_tradnl"/>
        </w:rPr>
        <w:t xml:space="preserve">icamente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Pr="0056376D">
        <w:rPr>
          <w:noProof/>
          <w:lang w:val="es-ES_tradnl"/>
        </w:rPr>
        <w:t>[26]</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77777777"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Pr="0056376D">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[27]","plainTextFormattedCitation":"[27]","previouslyFormattedCitation":"[27]"},"properties":{"noteIndex":0},"schema":"https://github.com/citation-style-language/schema/raw/master/csl-citation.json"}</w:instrText>
      </w:r>
      <w:r w:rsidRPr="00630316">
        <w:fldChar w:fldCharType="separate"/>
      </w:r>
      <w:r w:rsidRPr="0056376D">
        <w:rPr>
          <w:noProof/>
        </w:rPr>
        <w:t>[27]</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4207F7CB" w:rsidR="004D4C36" w:rsidRDefault="004D4C36" w:rsidP="004D4C36">
      <w:pPr>
        <w:rPr>
          <w:lang w:val="es-ES_tradnl"/>
        </w:rPr>
      </w:pPr>
    </w:p>
    <w:p w14:paraId="3F396387" w14:textId="1A8BD2DA" w:rsidR="00CD7084" w:rsidRPr="00627589" w:rsidRDefault="00CD7084" w:rsidP="009F3A40">
      <w:pPr>
        <w:spacing w:before="240"/>
        <w:ind w:left="426" w:hanging="426"/>
        <w:rPr>
          <w:b/>
          <w:lang w:val="es-ES_tradnl"/>
        </w:rPr>
      </w:pPr>
      <w:r w:rsidRPr="00627589">
        <w:rPr>
          <w:b/>
          <w:lang w:val="es-ES_tradnl"/>
        </w:rPr>
        <w:t>2.</w:t>
      </w:r>
      <w:r w:rsidR="009F3A40">
        <w:rPr>
          <w:b/>
          <w:lang w:val="es-ES_tradnl"/>
        </w:rPr>
        <w:t>1</w:t>
      </w:r>
      <w:r w:rsidRPr="00627589">
        <w:rPr>
          <w:b/>
          <w:lang w:val="es-ES_tradnl"/>
        </w:rPr>
        <w:t>.</w:t>
      </w:r>
      <w:r w:rsidR="009F3A40">
        <w:rPr>
          <w:b/>
          <w:lang w:val="es-ES_tradnl"/>
        </w:rPr>
        <w:t>4</w:t>
      </w:r>
      <w:r w:rsidRPr="00627589">
        <w:rPr>
          <w:b/>
          <w:lang w:val="es-ES_tradnl"/>
        </w:rPr>
        <w:t xml:space="preserve"> Modelo Ising</w:t>
      </w:r>
    </w:p>
    <w:p w14:paraId="17AC06DD" w14:textId="77777777"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627589">
        <w:rPr>
          <w:lang w:val="es-ES_tradnl"/>
        </w:rPr>
        <w:t>anti-alinearse</w:t>
      </w:r>
      <w:proofErr w:type="spellEnd"/>
      <w:r w:rsidRPr="00627589">
        <w:rPr>
          <w:lang w:val="es-ES_tradnl"/>
        </w:rPr>
        <w:t xml:space="preserv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Pr="00CD7084">
        <w:rPr>
          <w:highlight w:val="yellow"/>
          <w:lang w:val="es-ES_tradnl"/>
        </w:rPr>
        <w:fldChar w:fldCharType="begin" w:fldLock="1"/>
      </w:r>
      <w:r w:rsidRPr="00CD7084">
        <w:rPr>
          <w:highlight w:val="yellow"/>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model","type":"article-journal","volume":"39"},"uris":["http://www.mendeley.com/documents/?uuid=ea895abd-33fc-480b-a652-b2a2c9aed500","http://www.mendeley.com/documents/?uuid=cd1cbfdc-a5f0-4e2f-b684-6f8be32c9a0b"]}],"mendeley":{"formattedCitation":"(Brush, 1967)","plainTextFormattedCitation":"(Brush, 1967)","previouslyFormattedCitation":"(Brush, 1967)"},"properties":{"noteIndex":0},"schema":"https://github.com/citation-style-language/schema/raw/master/csl-citation.json"}</w:instrText>
      </w:r>
      <w:r w:rsidRPr="00CD7084">
        <w:rPr>
          <w:highlight w:val="yellow"/>
          <w:lang w:val="es-ES_tradnl"/>
        </w:rPr>
        <w:fldChar w:fldCharType="separate"/>
      </w:r>
      <w:r w:rsidRPr="00CD7084">
        <w:rPr>
          <w:noProof/>
          <w:highlight w:val="yellow"/>
          <w:lang w:val="es-ES_tradnl"/>
        </w:rPr>
        <w:t>(Brush, 1967)</w:t>
      </w:r>
      <w:r w:rsidRPr="00CD7084">
        <w:rPr>
          <w:highlight w:val="yellow"/>
          <w:lang w:val="es-ES_tradnl"/>
        </w:rPr>
        <w:fldChar w:fldCharType="end"/>
      </w:r>
      <w:r w:rsidRPr="00CD7084">
        <w:rPr>
          <w:highlight w:val="yellow"/>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B4252D">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w:t>
      </w:r>
      <w:proofErr w:type="spellStart"/>
      <w:r w:rsidRPr="00627589">
        <w:rPr>
          <w:lang w:val="es-ES_tradnl"/>
        </w:rPr>
        <w:t>ésima</w:t>
      </w:r>
      <w:proofErr w:type="spellEnd"/>
      <w:r w:rsidRPr="00627589">
        <w:rPr>
          <w:lang w:val="es-ES_tradnl"/>
        </w:rPr>
        <w:t xml:space="preserve"> partícula.</w:t>
      </w:r>
    </w:p>
    <w:tbl>
      <w:tblPr>
        <w:tblW w:w="0" w:type="auto"/>
        <w:tblLook w:val="04A0" w:firstRow="1" w:lastRow="0" w:firstColumn="1" w:lastColumn="0" w:noHBand="0" w:noVBand="1"/>
      </w:tblPr>
      <w:tblGrid>
        <w:gridCol w:w="7088"/>
        <w:gridCol w:w="461"/>
      </w:tblGrid>
      <w:tr w:rsidR="00CD7084" w:rsidRPr="00627589" w14:paraId="0DB9927C" w14:textId="77777777" w:rsidTr="00950048">
        <w:tc>
          <w:tcPr>
            <w:tcW w:w="7088" w:type="dxa"/>
            <w:shd w:val="clear" w:color="auto" w:fill="auto"/>
            <w:vAlign w:val="center"/>
          </w:tcPr>
          <w:p w14:paraId="5BE004A5" w14:textId="77777777" w:rsidR="00CD7084" w:rsidRPr="00627589" w:rsidRDefault="00CD7084" w:rsidP="00950048">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50048">
            <w:pPr>
              <w:pStyle w:val="Descripcin"/>
              <w:rPr>
                <w:lang w:val="es-ES_tradnl"/>
              </w:rPr>
            </w:pPr>
            <w:bookmarkStart w:id="29" w:name="_Ref37696280"/>
            <w:r w:rsidRPr="00627589">
              <w:rPr>
                <w:b w:val="0"/>
                <w:lang w:val="es-ES_tradnl"/>
              </w:rPr>
              <w:t>(4)</w:t>
            </w:r>
            <w:bookmarkEnd w:id="29"/>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B4252D">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480"/>
      </w:tblGrid>
      <w:tr w:rsidR="00CD7084" w:rsidRPr="00627589" w14:paraId="1A86C91B" w14:textId="77777777" w:rsidTr="00950048">
        <w:tc>
          <w:tcPr>
            <w:tcW w:w="6891" w:type="dxa"/>
            <w:shd w:val="clear" w:color="auto" w:fill="auto"/>
            <w:vAlign w:val="center"/>
          </w:tcPr>
          <w:p w14:paraId="534386F7" w14:textId="77777777" w:rsidR="00CD7084" w:rsidRPr="00627589" w:rsidRDefault="00CD7084" w:rsidP="00950048">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50048">
            <w:pPr>
              <w:pStyle w:val="Descripcin"/>
              <w:rPr>
                <w:lang w:val="es-ES_tradnl"/>
              </w:rPr>
            </w:pPr>
            <w:bookmarkStart w:id="30" w:name="_Ref37696290"/>
            <w:r w:rsidRPr="00627589">
              <w:rPr>
                <w:b w:val="0"/>
                <w:lang w:val="es-ES_tradnl"/>
              </w:rPr>
              <w:t>(5)</w:t>
            </w:r>
            <w:bookmarkEnd w:id="30"/>
          </w:p>
        </w:tc>
      </w:tr>
    </w:tbl>
    <w:p w14:paraId="46BA0994" w14:textId="316A31AC"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 xml:space="preserve">son coeficientes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09181B">
        <w:rPr>
          <w:highlight w:val="yellow"/>
          <w:lang w:val="es-ES_tradnl"/>
        </w:rPr>
        <w:fldChar w:fldCharType="begin" w:fldLock="1"/>
      </w:r>
      <w:r w:rsidRPr="0009181B">
        <w:rPr>
          <w:highlight w:val="yellow"/>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(Cao et al., 2016)</w:t>
      </w:r>
      <w:r w:rsidRPr="0009181B">
        <w:rPr>
          <w:highlight w:val="yellow"/>
          <w:lang w:val="es-ES_tradnl"/>
        </w:rPr>
        <w:fldChar w:fldCharType="end"/>
      </w:r>
      <w:r w:rsidRPr="0009181B">
        <w:rPr>
          <w:highlight w:val="yellow"/>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 </w:t>
      </w:r>
      <w:r w:rsidRPr="0009181B">
        <w:rPr>
          <w:highlight w:val="yellow"/>
          <w:lang w:val="es-ES_tradnl"/>
        </w:rPr>
        <w:fldChar w:fldCharType="begin" w:fldLock="1"/>
      </w:r>
      <w:r w:rsidRPr="0009181B">
        <w:rPr>
          <w:highlight w:val="yellow"/>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tricks","type":"article-journal"},"uris":["http://www.mendeley.com/documents/?uuid=61db24ce-ef5f-4420-9f38-56fd7ef9071b","http://www.mendeley.com/documents/?uuid=751f3a80-15c0-4514-978d-2dccd223c5c9"]}],"mendeley":{"formattedCitation":"(Bian, Chudak, Macready, &amp; Rose, 2010)","plainTextFormattedCitation":"(Bian, Chudak, Macready, &amp; Rose, 2010)","previouslyFormattedCitation":"(Bian, Chudak, Macready, &amp; Rose, 2010)"},"properties":{"noteIndex":0},"schema":"https://github.com/citation-style-language/schema/raw/master/csl-citation.json"}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(Bian, Chudak, Macready, &amp; Rose, 2010)</w:t>
      </w:r>
      <w:r w:rsidRPr="0009181B">
        <w:rPr>
          <w:highlight w:val="yellow"/>
          <w:lang w:val="es-ES_tradnl"/>
        </w:rPr>
        <w:fldChar w:fldCharType="end"/>
      </w:r>
      <w:r w:rsidRPr="0009181B">
        <w:rPr>
          <w:highlight w:val="yellow"/>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Pr="0009181B">
        <w:rPr>
          <w:highlight w:val="yellow"/>
          <w:lang w:val="es-ES_tradnl"/>
        </w:rPr>
        <w:fldChar w:fldCharType="begin" w:fldLock="1"/>
      </w:r>
      <w:r w:rsidRPr="0009181B">
        <w:rPr>
          <w:highlight w:val="yellow"/>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problem","type":"article-journal"},"uris":["http://www.mendeley.com/documents/?uuid=5e380cba-97aa-449e-9898-fbaa641635b2","http://www.mendeley.com/documents/?uuid=32dcc0a0-e07c-4717-a4aa-c9b43c023304"]}],"mendeley":{"formattedCitation":"(Coffey, 2017)","plainTextFormattedCitation":"(Coffey, 2017)","previouslyFormattedCitation":"(Coffey, 2017)"},"properties":{"noteIndex":0},"schema":"https://github.com/citation-style-language/schema/raw/master/csl-citation.json"}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(Coffey, 2017)</w:t>
      </w:r>
      <w:r w:rsidRPr="0009181B">
        <w:rPr>
          <w:highlight w:val="yellow"/>
          <w:lang w:val="es-ES_tradnl"/>
        </w:rPr>
        <w:fldChar w:fldCharType="end"/>
      </w:r>
      <w:r w:rsidRPr="0009181B">
        <w:rPr>
          <w:highlight w:val="yellow"/>
          <w:lang w:val="es-ES_tradnl"/>
        </w:rPr>
        <w:t>.</w:t>
      </w:r>
    </w:p>
    <w:p w14:paraId="520056EB" w14:textId="77777777" w:rsidR="00CD7084" w:rsidRPr="0056376D" w:rsidRDefault="00CD7084" w:rsidP="004D4C36">
      <w:pPr>
        <w:rPr>
          <w:lang w:val="es-ES_tradnl"/>
        </w:rPr>
      </w:pPr>
    </w:p>
    <w:p w14:paraId="5C890D53" w14:textId="56BC5B79" w:rsidR="004D4C36" w:rsidRDefault="004D4C36" w:rsidP="004D4C36">
      <w:pPr>
        <w:rPr>
          <w:lang w:val="es-ES_tradnl"/>
        </w:rPr>
      </w:pPr>
      <w:r w:rsidRPr="009F3A40">
        <w:rPr>
          <w:highlight w:val="red"/>
          <w:lang w:val="es-ES_tradnl"/>
        </w:rPr>
        <w:t xml:space="preserve">Con base en lo anterior, en </w:t>
      </w:r>
      <w:r w:rsidRPr="009F3A40">
        <w:rPr>
          <w:highlight w:val="red"/>
          <w:lang w:val="es-ES_tradnl"/>
        </w:rPr>
        <w:fldChar w:fldCharType="begin" w:fldLock="1"/>
      </w:r>
      <w:r w:rsidRPr="009F3A40">
        <w:rPr>
          <w:highlight w:val="red"/>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[26]","plainTextFormattedCitation":"[26]","previouslyFormattedCitation":"[26]"},"properties":{"noteIndex":0},"schema":"https://github.com/citation-style-language/schema/raw/master/csl-citation.json"}</w:instrText>
      </w:r>
      <w:r w:rsidRPr="009F3A40">
        <w:rPr>
          <w:highlight w:val="red"/>
          <w:lang w:val="es-ES_tradnl"/>
        </w:rPr>
        <w:fldChar w:fldCharType="separate"/>
      </w:r>
      <w:r w:rsidRPr="009F3A40">
        <w:rPr>
          <w:noProof/>
          <w:highlight w:val="red"/>
          <w:lang w:val="es-ES_tradnl"/>
        </w:rPr>
        <w:t>[26]</w:t>
      </w:r>
      <w:r w:rsidRPr="009F3A40">
        <w:rPr>
          <w:highlight w:val="red"/>
          <w:lang w:val="es-ES_tradnl"/>
        </w:rPr>
        <w:fldChar w:fldCharType="end"/>
      </w:r>
      <w:r w:rsidRPr="009F3A40">
        <w:rPr>
          <w:highlight w:val="red"/>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9F3A40">
        <w:rPr>
          <w:highlight w:val="red"/>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highlight w:val="red"/>
                <w:vertAlign w:val="subscript"/>
                <w:lang w:val="es-ES"/>
              </w:rPr>
            </m:ctrlPr>
          </m:sSubPr>
          <m:e>
            <m:r>
              <w:rPr>
                <w:rStyle w:val="tlid-translation"/>
                <w:rFonts w:ascii="Cambria Math" w:hAnsi="Cambria Math"/>
                <w:highlight w:val="red"/>
                <w:vertAlign w:val="subscript"/>
                <w:lang w:val="es-ES"/>
              </w:rPr>
              <m:t>log</m:t>
            </m:r>
          </m:e>
          <m:sub>
            <m:r>
              <w:rPr>
                <w:rStyle w:val="tlid-translation"/>
                <w:rFonts w:ascii="Cambria Math" w:hAnsi="Cambria Math"/>
                <w:highlight w:val="red"/>
                <w:vertAlign w:val="subscript"/>
                <w:lang w:val="es-ES"/>
              </w:rPr>
              <m:t>2</m:t>
            </m:r>
          </m:sub>
        </m:sSub>
      </m:oMath>
      <w:r w:rsidRPr="009F3A40">
        <w:rPr>
          <w:rStyle w:val="tlid-translation"/>
          <w:highlight w:val="red"/>
          <w:lang w:val="es-ES"/>
        </w:rPr>
        <w:t xml:space="preserve"> N</w:t>
      </w:r>
      <w:r w:rsidRPr="009F3A40">
        <w:rPr>
          <w:highlight w:val="red"/>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31"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31"/>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2" w:name="_Toc53762174"/>
      <w:r w:rsidRPr="00143883">
        <w:rPr>
          <w:rFonts w:ascii="Arial" w:hAnsi="Arial" w:cs="Arial"/>
          <w:b/>
          <w:bCs/>
          <w:color w:val="000000" w:themeColor="text1"/>
          <w:sz w:val="22"/>
          <w:szCs w:val="22"/>
          <w:lang w:val="es-ES_tradnl"/>
        </w:rPr>
        <w:t>Trabajos previos en el ámbito de algoritmos clásicos</w:t>
      </w:r>
      <w:bookmarkEnd w:id="32"/>
    </w:p>
    <w:p w14:paraId="30802AE7" w14:textId="77777777"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Pr="0056376D">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[28]","plainTextFormattedCitation":"[28]","previouslyFormattedCitation":"[28]"},"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[28]</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376D">
        <w:rPr>
          <w:rStyle w:val="tlid-translation"/>
          <w:lang w:val="es-ES"/>
        </w:rPr>
        <w:t>bAFSA</w:t>
      </w:r>
      <w:proofErr w:type="spellEnd"/>
      <w:r w:rsidRPr="0056376D">
        <w:rPr>
          <w:rStyle w:val="tlid-translation"/>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77777777"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[29]","plainTextFormattedCitation":"[29]","previouslyFormattedCitation":"[29]"},"properties":{"noteIndex":0},"schema":"https://github.com/citation-style-language/schema/raw/master/csl-citation.json"}</w:instrText>
      </w:r>
      <w:r w:rsidRPr="00630316">
        <w:rPr>
          <w:lang w:val="es-ES_tradnl"/>
        </w:rPr>
        <w:fldChar w:fldCharType="separate"/>
      </w:r>
      <w:r w:rsidRPr="0056376D">
        <w:rPr>
          <w:noProof/>
          <w:lang w:val="es-ES_tradnl"/>
        </w:rPr>
        <w:t>[29]</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ACO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77777777" w:rsidR="004D4C36" w:rsidRPr="0056376D" w:rsidRDefault="004D4C36" w:rsidP="004D4C36">
      <w:r w:rsidRPr="0056376D">
        <w:lastRenderedPageBreak/>
        <w:t xml:space="preserve">Ese mismo año (2017) </w:t>
      </w:r>
      <w:r w:rsidRPr="00630316">
        <w:fldChar w:fldCharType="begin" w:fldLock="1"/>
      </w:r>
      <w:r w:rsidRPr="0056376D">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[30]","plainTextFormattedCitation":"[30]","previouslyFormattedCitation":"[30]"},"properties":{"noteIndex":0},"schema":"https://github.com/citation-style-language/schema/raw/master/csl-citation.json"}</w:instrText>
      </w:r>
      <w:r w:rsidRPr="00630316">
        <w:fldChar w:fldCharType="separate"/>
      </w:r>
      <w:r w:rsidRPr="0056376D">
        <w:rPr>
          <w:noProof/>
        </w:rPr>
        <w:t>[30]</w:t>
      </w:r>
      <w:r w:rsidRPr="00630316">
        <w:fldChar w:fldCharType="end"/>
      </w:r>
      <w:r w:rsidRPr="0056376D">
        <w:t xml:space="preserve"> se realiza el análisis de los algoritmos de la Búsqueda tabú (Tabú </w:t>
      </w:r>
      <w:proofErr w:type="spellStart"/>
      <w:r w:rsidRPr="0056376D">
        <w:t>Search</w:t>
      </w:r>
      <w:proofErr w:type="spellEnd"/>
      <w:r w:rsidRPr="0056376D">
        <w:t>, TS), la Búsqueda Dispersa (</w:t>
      </w:r>
      <w:proofErr w:type="spellStart"/>
      <w:r w:rsidRPr="0056376D">
        <w:t>Scatter</w:t>
      </w:r>
      <w:proofErr w:type="spellEnd"/>
      <w:r w:rsidRPr="0056376D">
        <w:t xml:space="preserve"> </w:t>
      </w:r>
      <w:proofErr w:type="spellStart"/>
      <w:r w:rsidRPr="0056376D">
        <w:t>Search</w:t>
      </w:r>
      <w:proofErr w:type="spellEnd"/>
      <w:r w:rsidRPr="0056376D">
        <w:t xml:space="preserve">, SS) y un algoritmo de búsqueda local (Local </w:t>
      </w:r>
      <w:proofErr w:type="spellStart"/>
      <w:r w:rsidRPr="0056376D">
        <w:t>Search</w:t>
      </w:r>
      <w:proofErr w:type="spellEnd"/>
      <w:r w:rsidRPr="0056376D">
        <w:t xml:space="preserve">, LS). El objetivo del estudio fue determinar la eficiencia y precisión de cada uno en la solución del problema de la mochila binaria. Las pruebas se realizaron con el software </w:t>
      </w:r>
      <w:proofErr w:type="spellStart"/>
      <w:r w:rsidRPr="0056376D">
        <w:t>HeuristicLab</w:t>
      </w:r>
      <w:proofErr w:type="spellEnd"/>
      <w:r w:rsidRPr="0056376D">
        <w:t xml:space="preserve"> </w:t>
      </w:r>
      <w:proofErr w:type="spellStart"/>
      <w:r w:rsidRPr="0056376D">
        <w:t>framework</w:t>
      </w:r>
      <w:proofErr w:type="spellEnd"/>
      <w:r w:rsidRPr="0056376D">
        <w:t xml:space="preserve">,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376D">
        <w:t>firefly</w:t>
      </w:r>
      <w:proofErr w:type="spellEnd"/>
      <w:r w:rsidRPr="0056376D">
        <w:t>, colonia de hormigas o GRASP, y comparar los resultados con más métricas y diferentes tamaños de muestra.</w:t>
      </w:r>
    </w:p>
    <w:p w14:paraId="54AB85B4" w14:textId="77777777" w:rsidR="004D4C36" w:rsidRPr="0056376D" w:rsidRDefault="004D4C36" w:rsidP="004D4C36"/>
    <w:p w14:paraId="53353756" w14:textId="77777777"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Pr="0056376D">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7777777"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Pr="0056376D">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[32]","plainTextFormattedCitation":"[32]","previouslyFormattedCitation":"[32]"},"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[32]</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56376D">
        <w:rPr>
          <w:rStyle w:val="tlid-translation"/>
          <w:lang w:val="es-ES"/>
        </w:rPr>
        <w:t>truss</w:t>
      </w:r>
      <w:proofErr w:type="spellEnd"/>
      <w:r w:rsidRPr="0056376D">
        <w:rPr>
          <w:rStyle w:val="tlid-translation"/>
          <w:lang w:val="es-ES"/>
        </w:rPr>
        <w:t xml:space="preserve">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77777777" w:rsidR="004D4C36" w:rsidRPr="0056376D" w:rsidRDefault="004D4C36" w:rsidP="004D4C36">
      <w:pPr>
        <w:rPr>
          <w:lang w:val="es-ES"/>
        </w:rPr>
      </w:pPr>
      <w:r w:rsidRPr="0056376D">
        <w:rPr>
          <w:lang w:val="es-ES"/>
        </w:rPr>
        <w:t xml:space="preserve">En 2018 </w:t>
      </w:r>
      <w:r w:rsidRPr="00630316">
        <w:rPr>
          <w:lang w:val="es-ES"/>
        </w:rPr>
        <w:fldChar w:fldCharType="begin" w:fldLock="1"/>
      </w:r>
      <w:r w:rsidRPr="0056376D">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[33]","plainTextFormattedCitation":"[33]","previouslyFormattedCitation":"[33]"},"properties":{"noteIndex":0},"schema":"https://github.com/citation-style-language/schema/raw/master/csl-citation.json"}</w:instrText>
      </w:r>
      <w:r w:rsidRPr="00630316">
        <w:rPr>
          <w:lang w:val="es-ES"/>
        </w:rPr>
        <w:fldChar w:fldCharType="separate"/>
      </w:r>
      <w:r w:rsidRPr="0056376D">
        <w:rPr>
          <w:noProof/>
          <w:lang w:val="es-ES"/>
        </w:rPr>
        <w:t>[33]</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w:t>
      </w:r>
      <w:r w:rsidRPr="0056376D">
        <w:rPr>
          <w:lang w:val="es-ES"/>
        </w:rPr>
        <w:lastRenderedPageBreak/>
        <w:t>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77777777"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Pr="0056376D">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[34]","plainTextFormattedCitation":"[34]","previouslyFormattedCitation":"[34]"},"properties":{"noteIndex":0},"schema":"https://github.com/citation-style-language/schema/raw/master/csl-citation.json"}</w:instrText>
      </w:r>
      <w:r w:rsidRPr="00630316">
        <w:rPr>
          <w:lang w:val="es-419"/>
        </w:rPr>
        <w:fldChar w:fldCharType="separate"/>
      </w:r>
      <w:r w:rsidRPr="0056376D">
        <w:rPr>
          <w:noProof/>
          <w:lang w:val="es-419"/>
        </w:rPr>
        <w:t>[34]</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7777777"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Pr="0056376D">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[35]","plainTextFormattedCitation":"[35]","previouslyFormattedCitation":"[35]"},"properties":{"noteIndex":0},"schema":"https://github.com/citation-style-language/schema/raw/master/csl-citation.json"}</w:instrText>
      </w:r>
      <w:r w:rsidRPr="00630316">
        <w:fldChar w:fldCharType="separate"/>
      </w:r>
      <w:r w:rsidRPr="0056376D">
        <w:rPr>
          <w:noProof/>
        </w:rPr>
        <w:t>[35]</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14BD4BC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Pr="0056376D">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[36]","plainTextFormattedCitation":"[36]","previouslyFormattedCitation":"[36]"},"properties":{"noteIndex":0},"schema":"https://github.com/citation-style-language/schema/raw/master/csl-citation.json"}</w:instrText>
      </w:r>
      <w:r w:rsidRPr="00630316">
        <w:rPr>
          <w:lang w:val="es-ES"/>
        </w:rPr>
        <w:fldChar w:fldCharType="separate"/>
      </w:r>
      <w:r w:rsidRPr="0056376D">
        <w:rPr>
          <w:noProof/>
          <w:lang w:val="es-419"/>
        </w:rPr>
        <w:t>[36]</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3" w:name="_Toc53762175"/>
      <w:r w:rsidRPr="00435600">
        <w:rPr>
          <w:rFonts w:ascii="Arial" w:hAnsi="Arial" w:cs="Arial"/>
          <w:b/>
          <w:bCs/>
          <w:color w:val="000000" w:themeColor="text1"/>
          <w:sz w:val="22"/>
          <w:szCs w:val="22"/>
          <w:lang w:val="es-ES_tradnl"/>
        </w:rPr>
        <w:t>Trabajos previos en el ámbito de computación cuántica</w:t>
      </w:r>
      <w:bookmarkEnd w:id="33"/>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6FBA3556" w14:textId="77777777" w:rsidR="001666B7" w:rsidRPr="004D4C36" w:rsidRDefault="001666B7" w:rsidP="003E7B8F">
      <w:pPr>
        <w:rPr>
          <w:lang w:val="es-ES"/>
        </w:rPr>
      </w:pPr>
    </w:p>
    <w:p w14:paraId="7FD11E10" w14:textId="0E578D75" w:rsidR="006D79DA" w:rsidRDefault="006D79DA">
      <w:pPr>
        <w:spacing w:after="160" w:line="259" w:lineRule="auto"/>
        <w:jc w:val="left"/>
      </w:pPr>
      <w:r>
        <w:br w:type="page"/>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commentRangeStart w:id="34"/>
      <w:r w:rsidRPr="0087466E">
        <w:rPr>
          <w:rFonts w:eastAsia="Arial"/>
        </w:rPr>
        <w:t xml:space="preserve">CAPÍTULO </w:t>
      </w:r>
      <w:commentRangeEnd w:id="34"/>
      <w:r w:rsidR="00F15B1E">
        <w:rPr>
          <w:rStyle w:val="Refdecomentario"/>
          <w:rFonts w:ascii="Arial" w:eastAsia="Calibri" w:hAnsi="Arial"/>
          <w:b w:val="0"/>
          <w:smallCaps w:val="0"/>
        </w:rPr>
        <w:commentReference w:id="34"/>
      </w:r>
      <w:r>
        <w:rPr>
          <w:rFonts w:eastAsia="Arial"/>
        </w:rPr>
        <w:t>3</w:t>
      </w:r>
    </w:p>
    <w:p w14:paraId="69AB4DE3" w14:textId="534D1DF6"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w:t>
      </w:r>
      <w:r w:rsidR="00A11FF4">
        <w:rPr>
          <w:rFonts w:ascii="Arial" w:hAnsi="Arial" w:cs="Arial"/>
          <w:b/>
          <w:bCs/>
          <w:color w:val="000000" w:themeColor="text1"/>
          <w:sz w:val="22"/>
          <w:szCs w:val="22"/>
        </w:rPr>
        <w:t xml:space="preserve"> LA</w:t>
      </w:r>
      <w:r>
        <w:rPr>
          <w:rFonts w:ascii="Arial" w:hAnsi="Arial" w:cs="Arial"/>
          <w:b/>
          <w:bCs/>
          <w:color w:val="000000" w:themeColor="text1"/>
          <w:sz w:val="22"/>
          <w:szCs w:val="22"/>
        </w:rPr>
        <w:t xml:space="preserve">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79A8BBF" w14:textId="73E943E8" w:rsidR="0063632A" w:rsidRDefault="00F8028A" w:rsidP="00163A50">
      <w:pPr>
        <w:pStyle w:val="Ttulo2"/>
        <w:numPr>
          <w:ilvl w:val="1"/>
          <w:numId w:val="4"/>
        </w:numPr>
        <w:ind w:left="426" w:hanging="437"/>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2ACDDB9" w14:textId="77777777" w:rsidR="00EA2BB9" w:rsidRPr="00EA2BB9" w:rsidRDefault="00EA2BB9" w:rsidP="00EA2BB9"/>
    <w:p w14:paraId="3B11FB9C" w14:textId="33BD021E" w:rsidR="007D16A6" w:rsidRDefault="00EB1882"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En la actualidad el manejo real que se tiene para el desarrollo de soluciones cuánticas a problemas de optimización se enfoca</w:t>
      </w:r>
      <w:r>
        <w:rPr>
          <w:rFonts w:ascii="Arial" w:hAnsi="Arial" w:cs="Arial"/>
          <w:color w:val="000000"/>
          <w:sz w:val="22"/>
          <w:szCs w:val="22"/>
        </w:rPr>
        <w:t xml:space="preserve">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Pr>
          <w:rFonts w:ascii="Arial" w:hAnsi="Arial" w:cs="Arial"/>
          <w:color w:val="000000"/>
          <w:sz w:val="22"/>
          <w:szCs w:val="22"/>
        </w:rPr>
        <w:t>, los cuales</w:t>
      </w:r>
      <w:r>
        <w:rPr>
          <w:rFonts w:ascii="Arial" w:hAnsi="Arial" w:cs="Arial"/>
          <w:color w:val="000000"/>
          <w:sz w:val="22"/>
          <w:szCs w:val="22"/>
        </w:rPr>
        <w:t xml:space="preserve"> </w:t>
      </w:r>
      <w:r>
        <w:rPr>
          <w:rFonts w:ascii="Arial" w:hAnsi="Arial" w:cs="Arial"/>
          <w:color w:val="000000"/>
          <w:sz w:val="22"/>
          <w:szCs w:val="22"/>
        </w:rPr>
        <w:t>tr</w:t>
      </w:r>
      <w:r>
        <w:rPr>
          <w:rFonts w:ascii="Arial" w:hAnsi="Arial" w:cs="Arial"/>
          <w:color w:val="000000"/>
          <w:sz w:val="22"/>
          <w:szCs w:val="22"/>
        </w:rPr>
        <w:t xml:space="preserve">abajan con programación a bajo nivel, </w:t>
      </w:r>
      <w:r>
        <w:rPr>
          <w:rFonts w:ascii="Arial" w:hAnsi="Arial" w:cs="Arial"/>
          <w:color w:val="000000"/>
          <w:sz w:val="22"/>
          <w:szCs w:val="22"/>
        </w:rPr>
        <w:t xml:space="preserve">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lo cual permite </w:t>
      </w:r>
      <w:r w:rsidR="001D26DA">
        <w:rPr>
          <w:rFonts w:ascii="Arial" w:hAnsi="Arial" w:cs="Arial"/>
          <w:color w:val="000000"/>
          <w:sz w:val="22"/>
          <w:szCs w:val="22"/>
        </w:rPr>
        <w:t xml:space="preserve">realizar cálculos en paralelo a través del principio de superposición de estados. </w:t>
      </w:r>
    </w:p>
    <w:p w14:paraId="43EC7CF7" w14:textId="7797BACF" w:rsidR="00136713" w:rsidRDefault="001D26DA"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 xml:space="preserve">y mientras se realizan avances significativos en materia de Hardware y Software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w:t>
      </w:r>
      <w:r w:rsidR="00CA16AF" w:rsidRPr="00CA16AF">
        <w:rPr>
          <w:rFonts w:ascii="Arial" w:hAnsi="Arial" w:cs="Arial"/>
          <w:sz w:val="22"/>
          <w:szCs w:val="22"/>
        </w:rPr>
        <w:t xml:space="preserv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4B69F9D5" w:rsidR="00EB1882" w:rsidRDefault="00EB1882" w:rsidP="00C51E3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aun no esta en la capacidad de dar solución a algoritmos complejos </w:t>
      </w:r>
      <w:r w:rsidR="0089049A">
        <w:rPr>
          <w:rFonts w:ascii="Arial" w:hAnsi="Arial" w:cs="Arial"/>
          <w:color w:val="000000"/>
          <w:sz w:val="22"/>
          <w:szCs w:val="22"/>
        </w:rPr>
        <w:t xml:space="preserve"> y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C51E3B">
        <w:rPr>
          <w:rFonts w:ascii="Arial" w:hAnsi="Arial" w:cs="Arial"/>
          <w:color w:val="000000"/>
          <w:sz w:val="22"/>
          <w:szCs w:val="22"/>
        </w:rPr>
        <w:t xml:space="preserve"> </w:t>
      </w:r>
      <w:r>
        <w:rPr>
          <w:rFonts w:ascii="Arial" w:hAnsi="Arial" w:cs="Arial"/>
          <w:color w:val="000000"/>
          <w:sz w:val="22"/>
          <w:szCs w:val="22"/>
        </w:rPr>
        <w:t xml:space="preserve">debido a que es una de las librerías que tiene </w:t>
      </w:r>
      <w:r w:rsidR="00C51E3B">
        <w:rPr>
          <w:rFonts w:ascii="Arial" w:hAnsi="Arial" w:cs="Arial"/>
          <w:color w:val="000000"/>
          <w:sz w:val="22"/>
          <w:szCs w:val="22"/>
        </w:rPr>
        <w:t>una</w:t>
      </w:r>
      <w:r>
        <w:rPr>
          <w:rFonts w:ascii="Arial" w:hAnsi="Arial" w:cs="Arial"/>
          <w:color w:val="000000"/>
          <w:sz w:val="22"/>
          <w:szCs w:val="22"/>
        </w:rPr>
        <w:t xml:space="preserve"> base de desarrollo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4775E91C" w:rsidR="00A306D7" w:rsidRPr="0087466E" w:rsidRDefault="00A306D7" w:rsidP="00A306D7">
      <w:r w:rsidRPr="0087466E">
        <w:t xml:space="preserve">En la </w:t>
      </w:r>
      <w:r w:rsidR="006A00A9">
        <w:rPr>
          <w:b/>
        </w:rPr>
        <w:t xml:space="preserve">figura de abajo </w:t>
      </w:r>
      <w:r w:rsidRPr="0087466E">
        <w:t>se muestra una vista de alto nivel de</w:t>
      </w:r>
      <w:r w:rsidR="006A00A9">
        <w:t>l algoritmo implementado</w:t>
      </w:r>
      <w:r w:rsidRPr="0087466E">
        <w:t xml:space="preserve">. Las clases de color azul corresponden al núcleo del </w:t>
      </w:r>
      <w:r w:rsidR="006A00A9">
        <w:t>marco de trabajo</w:t>
      </w:r>
      <w:r w:rsidRPr="0087466E">
        <w:t>, y las de color verde son clases derivadas asociadas a implementaciones de algoritmos específico</w:t>
      </w:r>
      <w:r w:rsidR="00033BE3">
        <w:t xml:space="preserve"> y los artefactos en color verde corresponden a los algoritmos generadores de los conjuntos de datos.</w:t>
      </w:r>
    </w:p>
    <w:p w14:paraId="3BA2448F" w14:textId="77777777" w:rsidR="00A306D7" w:rsidRPr="00A306D7" w:rsidRDefault="00A306D7" w:rsidP="00C51E3B">
      <w:pPr>
        <w:pStyle w:val="NormalWeb"/>
        <w:spacing w:before="240" w:beforeAutospacing="0" w:after="240" w:afterAutospacing="0"/>
        <w:rPr>
          <w:lang w:val="es-CO"/>
        </w:rPr>
      </w:pPr>
    </w:p>
    <w:p w14:paraId="7616D78F" w14:textId="65588481" w:rsidR="00F32CEB" w:rsidRDefault="00F32CEB" w:rsidP="00151380"/>
    <w:p w14:paraId="0FE036F0" w14:textId="77777777" w:rsidR="00F32CEB" w:rsidRDefault="00F32CEB" w:rsidP="00151380"/>
    <w:p w14:paraId="5198C888" w14:textId="7A9A8F60" w:rsidR="0008615A" w:rsidRDefault="00033BE3" w:rsidP="00151380">
      <w:r>
        <w:rPr>
          <w:noProof/>
        </w:rPr>
        <w:drawing>
          <wp:inline distT="0" distB="0" distL="0" distR="0" wp14:anchorId="167B3F01" wp14:editId="5DEB0D4B">
            <wp:extent cx="5612130" cy="28587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58770"/>
                    </a:xfrm>
                    <a:prstGeom prst="rect">
                      <a:avLst/>
                    </a:prstGeom>
                  </pic:spPr>
                </pic:pic>
              </a:graphicData>
            </a:graphic>
          </wp:inline>
        </w:drawing>
      </w:r>
    </w:p>
    <w:p w14:paraId="5E32CE8B" w14:textId="532848DD"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3FE9BF52" w:rsidR="008F78DB" w:rsidRDefault="009613C3" w:rsidP="009613C3">
      <w:pPr>
        <w:pStyle w:val="Prrafodelista"/>
        <w:numPr>
          <w:ilvl w:val="0"/>
          <w:numId w:val="5"/>
        </w:numPr>
      </w:pPr>
      <w:r w:rsidRPr="009613C3">
        <w:rPr>
          <w:b/>
          <w:bCs/>
        </w:rPr>
        <w:t>Modulo principal (</w:t>
      </w:r>
      <w:proofErr w:type="spellStart"/>
      <w:r w:rsidRPr="009613C3">
        <w:rPr>
          <w:b/>
          <w:bCs/>
        </w:rPr>
        <w:t>main</w:t>
      </w:r>
      <w:proofErr w:type="spellEnd"/>
      <w:r w:rsidRPr="009613C3">
        <w:rPr>
          <w:b/>
          <w:bCs/>
        </w:rPr>
        <w:t>):</w:t>
      </w:r>
      <w:r>
        <w:t xml:space="preserve"> modulo principal que controla el funcionamiento del algoritmo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5F662FAF" w14:textId="2E5BEB52" w:rsidR="009857B7" w:rsidRDefault="004861BC" w:rsidP="009613C3">
      <w:pPr>
        <w:pStyle w:val="Prrafodelista"/>
        <w:numPr>
          <w:ilvl w:val="0"/>
          <w:numId w:val="5"/>
        </w:numPr>
      </w:pPr>
      <w:r>
        <w:rPr>
          <w:b/>
          <w:bCs/>
        </w:rPr>
        <w:t>Módulo</w:t>
      </w:r>
      <w:r w:rsidR="009857B7">
        <w:rPr>
          <w:b/>
          <w:bCs/>
        </w:rPr>
        <w:t xml:space="preserve"> </w:t>
      </w:r>
      <w:r w:rsidR="00350577">
        <w:rPr>
          <w:b/>
          <w:bCs/>
        </w:rPr>
        <w:t xml:space="preserve">de definición de la mochila: </w:t>
      </w:r>
      <w:r w:rsidRPr="004861BC">
        <w:t>S</w:t>
      </w:r>
      <w:r w:rsidR="00350577" w:rsidRPr="00350577">
        <w:t>e define la estructura del objeto</w:t>
      </w:r>
      <w:r w:rsidR="00350577">
        <w:t xml:space="preserve"> Mochila y </w:t>
      </w:r>
      <w:r w:rsidR="001C0EE2">
        <w:t>sus Elementos</w:t>
      </w:r>
      <w:r w:rsidR="00350577">
        <w:t xml:space="preserve"> correspondientes,</w:t>
      </w:r>
      <w:r w:rsidR="00350577" w:rsidRPr="00350577">
        <w:t xml:space="preserve"> con el cual </w:t>
      </w:r>
      <w:r w:rsidR="00350577">
        <w:t>van a trabajar los algoritmos evaluados</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697D396" w14:textId="17150A29" w:rsidR="004861BC" w:rsidRPr="0087466E"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27B1314" w14:textId="1D339712" w:rsidR="004861BC" w:rsidRDefault="004861BC" w:rsidP="004861BC"/>
    <w:p w14:paraId="5F374EA6" w14:textId="5A61B759" w:rsidR="00163A50" w:rsidRPr="00163A50" w:rsidRDefault="00163A50" w:rsidP="00163A50">
      <w:pPr>
        <w:pStyle w:val="Ttulo3"/>
        <w:ind w:left="426" w:hanging="426"/>
        <w:rPr>
          <w:rFonts w:ascii="Arial" w:hAnsi="Arial" w:cs="Arial"/>
          <w:b/>
          <w:bCs/>
          <w:color w:val="000000" w:themeColor="text1"/>
        </w:rPr>
      </w:pPr>
      <w:r w:rsidRPr="00163A50">
        <w:rPr>
          <w:rFonts w:ascii="Arial" w:hAnsi="Arial" w:cs="Arial"/>
          <w:b/>
          <w:bCs/>
          <w:color w:val="000000" w:themeColor="text1"/>
        </w:rPr>
        <w:t xml:space="preserve">3.1.2 </w:t>
      </w:r>
      <w:r w:rsidRPr="00163A50">
        <w:rPr>
          <w:rFonts w:ascii="Arial" w:hAnsi="Arial" w:cs="Arial"/>
          <w:b/>
          <w:bCs/>
          <w:color w:val="000000" w:themeColor="text1"/>
        </w:rPr>
        <w:t>Modulo principal (</w:t>
      </w:r>
      <w:proofErr w:type="spellStart"/>
      <w:r w:rsidRPr="00163A50">
        <w:rPr>
          <w:rFonts w:ascii="Arial" w:hAnsi="Arial" w:cs="Arial"/>
          <w:b/>
          <w:bCs/>
          <w:color w:val="000000" w:themeColor="text1"/>
        </w:rPr>
        <w:t>main</w:t>
      </w:r>
      <w:proofErr w:type="spellEnd"/>
      <w:r w:rsidRPr="00163A50">
        <w:rPr>
          <w:rFonts w:ascii="Arial" w:hAnsi="Arial" w:cs="Arial"/>
          <w:b/>
          <w:bCs/>
          <w:color w:val="000000" w:themeColor="text1"/>
        </w:rPr>
        <w:t>)</w:t>
      </w:r>
    </w:p>
    <w:p w14:paraId="3C066EAA" w14:textId="77777777" w:rsidR="003A0A6F" w:rsidRPr="003F1E81" w:rsidRDefault="003A0A6F" w:rsidP="003E7B8F">
      <w:pPr>
        <w:rPr>
          <w:sz w:val="52"/>
          <w:szCs w:val="52"/>
          <w:u w:val="single"/>
        </w:rPr>
      </w:pPr>
    </w:p>
    <w:p w14:paraId="5333D074" w14:textId="05D0E2B0" w:rsidR="003A0A6F" w:rsidRDefault="003A0A6F"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lastRenderedPageBreak/>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5DD13CF0" w14:textId="3F1BBC6C" w:rsidR="003A0A6F" w:rsidRDefault="003A0A6F" w:rsidP="003E7B8F"/>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28851F79" w14:textId="1615343C" w:rsidR="003A0A6F" w:rsidRDefault="003A0A6F" w:rsidP="003E7B8F"/>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14"/>
      <w:footerReference w:type="default" r:id="rId15"/>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nilo López Sandoval" w:date="2022-03-20T22:18:00Z" w:initials="DLS">
    <w:p w14:paraId="69B2822C" w14:textId="77777777" w:rsidR="00F15B1E" w:rsidRDefault="00F15B1E"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F15B1E" w:rsidRDefault="00F15B1E"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32C8" w14:textId="77777777" w:rsidR="00CF4C4E" w:rsidRDefault="00CF4C4E" w:rsidP="007C0484">
      <w:r>
        <w:separator/>
      </w:r>
    </w:p>
  </w:endnote>
  <w:endnote w:type="continuationSeparator" w:id="0">
    <w:p w14:paraId="0B14A0C9" w14:textId="77777777" w:rsidR="00CF4C4E" w:rsidRDefault="00CF4C4E"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83E50"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r>
    <w:r>
      <w:rPr>
        <w:sz w:val="20"/>
        <w:szCs w:val="20"/>
      </w:rPr>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0B8C" w14:textId="77777777" w:rsidR="00CF4C4E" w:rsidRDefault="00CF4C4E" w:rsidP="007C0484">
      <w:r>
        <w:separator/>
      </w:r>
    </w:p>
  </w:footnote>
  <w:footnote w:type="continuationSeparator" w:id="0">
    <w:p w14:paraId="4DDDF6A3" w14:textId="77777777" w:rsidR="00CF4C4E" w:rsidRDefault="00CF4C4E" w:rsidP="007C0484">
      <w:r>
        <w:continuationSeparator/>
      </w:r>
    </w:p>
  </w:footnote>
  <w:footnote w:id="1">
    <w:p w14:paraId="3B3B651F" w14:textId="77777777" w:rsidR="00CD7084" w:rsidRPr="00050AF2" w:rsidRDefault="00CD7084"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Pr>
          <w:lang w:val="es-419"/>
        </w:rPr>
        <w:fldChar w:fldCharType="separate"/>
      </w:r>
      <w:r w:rsidRPr="007B7B83">
        <w:rPr>
          <w:noProof/>
          <w:lang w:val="es-419"/>
        </w:rPr>
        <w:t>(Lucas, 2014)</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5"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9" w15:restartNumberingAfterBreak="0">
    <w:nsid w:val="656526F3"/>
    <w:multiLevelType w:val="hybridMultilevel"/>
    <w:tmpl w:val="C194E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1"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3"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6"/>
  </w:num>
  <w:num w:numId="4">
    <w:abstractNumId w:val="2"/>
  </w:num>
  <w:num w:numId="5">
    <w:abstractNumId w:val="9"/>
  </w:num>
  <w:num w:numId="6">
    <w:abstractNumId w:val="0"/>
  </w:num>
  <w:num w:numId="7">
    <w:abstractNumId w:val="11"/>
  </w:num>
  <w:num w:numId="8">
    <w:abstractNumId w:val="3"/>
  </w:num>
  <w:num w:numId="9">
    <w:abstractNumId w:val="12"/>
  </w:num>
  <w:num w:numId="10">
    <w:abstractNumId w:val="4"/>
  </w:num>
  <w:num w:numId="11">
    <w:abstractNumId w:val="8"/>
  </w:num>
  <w:num w:numId="12">
    <w:abstractNumId w:val="10"/>
  </w:num>
  <w:num w:numId="13">
    <w:abstractNumId w:val="13"/>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33BE3"/>
    <w:rsid w:val="0006105D"/>
    <w:rsid w:val="0008615A"/>
    <w:rsid w:val="000908F4"/>
    <w:rsid w:val="0009181B"/>
    <w:rsid w:val="000B5D84"/>
    <w:rsid w:val="000D26F6"/>
    <w:rsid w:val="000F7353"/>
    <w:rsid w:val="00115A7D"/>
    <w:rsid w:val="00136713"/>
    <w:rsid w:val="00143883"/>
    <w:rsid w:val="00151380"/>
    <w:rsid w:val="00163A50"/>
    <w:rsid w:val="001666B7"/>
    <w:rsid w:val="001933E8"/>
    <w:rsid w:val="001A7655"/>
    <w:rsid w:val="001C0EE2"/>
    <w:rsid w:val="001C5F15"/>
    <w:rsid w:val="001D1DB3"/>
    <w:rsid w:val="001D26DA"/>
    <w:rsid w:val="002061D8"/>
    <w:rsid w:val="00213CC7"/>
    <w:rsid w:val="0022112A"/>
    <w:rsid w:val="00240296"/>
    <w:rsid w:val="00245306"/>
    <w:rsid w:val="00256286"/>
    <w:rsid w:val="00274F1C"/>
    <w:rsid w:val="002822CD"/>
    <w:rsid w:val="002C00F6"/>
    <w:rsid w:val="002E3D28"/>
    <w:rsid w:val="00304CEC"/>
    <w:rsid w:val="00333AC4"/>
    <w:rsid w:val="00350577"/>
    <w:rsid w:val="00371621"/>
    <w:rsid w:val="003842E4"/>
    <w:rsid w:val="003A0A6F"/>
    <w:rsid w:val="003A30DB"/>
    <w:rsid w:val="003A755C"/>
    <w:rsid w:val="003E7B8F"/>
    <w:rsid w:val="003F1E81"/>
    <w:rsid w:val="00415666"/>
    <w:rsid w:val="00435600"/>
    <w:rsid w:val="00442EC2"/>
    <w:rsid w:val="0045016E"/>
    <w:rsid w:val="0045243B"/>
    <w:rsid w:val="004861BC"/>
    <w:rsid w:val="004937F5"/>
    <w:rsid w:val="00496101"/>
    <w:rsid w:val="004965B2"/>
    <w:rsid w:val="004A71B6"/>
    <w:rsid w:val="004D4C36"/>
    <w:rsid w:val="005263A8"/>
    <w:rsid w:val="00555DFC"/>
    <w:rsid w:val="005750AB"/>
    <w:rsid w:val="00587022"/>
    <w:rsid w:val="005B4C47"/>
    <w:rsid w:val="005C3A26"/>
    <w:rsid w:val="005D44F3"/>
    <w:rsid w:val="005D5C8B"/>
    <w:rsid w:val="005F5EFF"/>
    <w:rsid w:val="0063632A"/>
    <w:rsid w:val="006542A0"/>
    <w:rsid w:val="00695B96"/>
    <w:rsid w:val="006A00A9"/>
    <w:rsid w:val="006C0EBA"/>
    <w:rsid w:val="006D79DA"/>
    <w:rsid w:val="006E20C8"/>
    <w:rsid w:val="00745656"/>
    <w:rsid w:val="00755C4A"/>
    <w:rsid w:val="007A7378"/>
    <w:rsid w:val="007B1D0D"/>
    <w:rsid w:val="007C0484"/>
    <w:rsid w:val="007D16A6"/>
    <w:rsid w:val="007D336F"/>
    <w:rsid w:val="00824737"/>
    <w:rsid w:val="0083792C"/>
    <w:rsid w:val="008506AE"/>
    <w:rsid w:val="00862A00"/>
    <w:rsid w:val="00874798"/>
    <w:rsid w:val="0089049A"/>
    <w:rsid w:val="00892DF6"/>
    <w:rsid w:val="008B2EF6"/>
    <w:rsid w:val="008F78DB"/>
    <w:rsid w:val="00901140"/>
    <w:rsid w:val="009066F3"/>
    <w:rsid w:val="00937FA8"/>
    <w:rsid w:val="00944576"/>
    <w:rsid w:val="00960DB1"/>
    <w:rsid w:val="009613C3"/>
    <w:rsid w:val="0097516B"/>
    <w:rsid w:val="00975B36"/>
    <w:rsid w:val="009857B7"/>
    <w:rsid w:val="00995C81"/>
    <w:rsid w:val="00996ED0"/>
    <w:rsid w:val="009C5EA7"/>
    <w:rsid w:val="009F3A40"/>
    <w:rsid w:val="00A0240F"/>
    <w:rsid w:val="00A114B9"/>
    <w:rsid w:val="00A11FF4"/>
    <w:rsid w:val="00A306D7"/>
    <w:rsid w:val="00A44FCD"/>
    <w:rsid w:val="00A760A1"/>
    <w:rsid w:val="00A92FEC"/>
    <w:rsid w:val="00AB5291"/>
    <w:rsid w:val="00B43C59"/>
    <w:rsid w:val="00B53C2A"/>
    <w:rsid w:val="00B56C11"/>
    <w:rsid w:val="00B67B11"/>
    <w:rsid w:val="00B71B53"/>
    <w:rsid w:val="00BC36DD"/>
    <w:rsid w:val="00BD7125"/>
    <w:rsid w:val="00C07FBB"/>
    <w:rsid w:val="00C23595"/>
    <w:rsid w:val="00C236AC"/>
    <w:rsid w:val="00C25A05"/>
    <w:rsid w:val="00C446D6"/>
    <w:rsid w:val="00C51E3B"/>
    <w:rsid w:val="00CA16AF"/>
    <w:rsid w:val="00CB1424"/>
    <w:rsid w:val="00CD7084"/>
    <w:rsid w:val="00CE71D1"/>
    <w:rsid w:val="00CF4C4E"/>
    <w:rsid w:val="00CF68EF"/>
    <w:rsid w:val="00D07A16"/>
    <w:rsid w:val="00D2544B"/>
    <w:rsid w:val="00D30ED3"/>
    <w:rsid w:val="00D373E3"/>
    <w:rsid w:val="00DB3692"/>
    <w:rsid w:val="00DD7350"/>
    <w:rsid w:val="00E015AB"/>
    <w:rsid w:val="00E34AD6"/>
    <w:rsid w:val="00E4057E"/>
    <w:rsid w:val="00E464F0"/>
    <w:rsid w:val="00E71C18"/>
    <w:rsid w:val="00E7565F"/>
    <w:rsid w:val="00EA2BB9"/>
    <w:rsid w:val="00EA3BCA"/>
    <w:rsid w:val="00EB1882"/>
    <w:rsid w:val="00F15B1E"/>
    <w:rsid w:val="00F16B2A"/>
    <w:rsid w:val="00F32CEB"/>
    <w:rsid w:val="00F360BA"/>
    <w:rsid w:val="00F72F59"/>
    <w:rsid w:val="00F8028A"/>
    <w:rsid w:val="00F80DB0"/>
    <w:rsid w:val="00FA7F47"/>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513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Esquema"/>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semiHidden/>
    <w:rsid w:val="00151380"/>
    <w:rPr>
      <w:rFonts w:asciiTheme="majorHAnsi" w:eastAsiaTheme="majorEastAsia" w:hAnsiTheme="majorHAnsi" w:cstheme="majorBidi"/>
      <w:i/>
      <w:iCs/>
      <w:color w:val="2F5496" w:themeColor="accent1" w:themeShade="BF"/>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4985</TotalTime>
  <Pages>19</Pages>
  <Words>24251</Words>
  <Characters>133384</Characters>
  <Application>Microsoft Office Word</Application>
  <DocSecurity>0</DocSecurity>
  <Lines>1111</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14</cp:revision>
  <dcterms:created xsi:type="dcterms:W3CDTF">2022-03-10T13:04:00Z</dcterms:created>
  <dcterms:modified xsi:type="dcterms:W3CDTF">2022-03-22T04:49:00Z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