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spacing w:lineRule="atLeast" w:line="252" w:after="0" w:before="150"/>
        <w:shd w:val="clear" w:color="auto" w:fill="FFFFFF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Прикладной уровень</w:t>
      </w:r>
      <w:r>
        <w:rPr>
          <w:b/>
        </w:rPr>
      </w:r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Обеспечивает преобразование данных, специфичных для каждого приложения. Отвечает за доступ приложений в сеть.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Протоколы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HTTP, gopher, Telnet, DNS, SMTP, SNMP, CMIP, FTP, TFTP, SSH, IRC, AIM, NFS, NNTP, NTP, SNTP, XMPP, FTAM, APPC, X.400, X.500, AFP, LDAP, SIP, ITMS, ModbusTCP, BACnetIP, IMAP, POP3, SMB, MFTP, BitTorrent, eD2k, PROFIBUS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Уровень представления</w:t>
      </w:r>
      <w:r>
        <w:rPr>
          <w:b/>
        </w:rPr>
      </w:r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Осуществляет преобразование данных общего характера (кодирование, компрессия и т.п.) прикладного уровня в поток информации для транспортного уровня. Отвечает за возможность диалога между приложениями на разных машинах.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Протоколы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HTTP, ASN.1, XML-RPC, TDI, XDR, SNMP, FTP, Telnet, SMTP, NCP, AFP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Сеансовый уровень</w:t>
      </w:r>
      <w:r>
        <w:rPr>
          <w:b/>
        </w:rPr>
      </w:r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Добавляет транспортной функции удобства обращения, управляет диалогом на протяжении установленной сессии связи. Отвечает за организацию сеансов обмена данными между оконечными машинами.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Протоколы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ASP, ADSP, DLC, Named Pipes, NBT, NetBIOS, NWLink, Printer Access Protocol, Zone Information Protocol, SSL, TLS, SOCKS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Транспортный уровень</w:t>
      </w:r>
      <w:r>
        <w:rPr>
          <w:b/>
        </w:rPr>
      </w:r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Выполняет свободную от ошибок, ориентированную на работу с сообщениями сквозную передачу.  Делит потоки информации на достаточно малые фрагменты (пакеты) для передачи их на сетевой уровень.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Протоколы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TCP, UDP, NetBEUI, AEP, ATP, IL, NBP, RTMP, SMB, SPX, SCTP, DCCP, RTP,  TFTP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Сетевой уровень</w:t>
      </w:r>
      <w:r>
        <w:rPr>
          <w:b/>
        </w:rPr>
      </w:r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Обеспечивает маршрутизацию, и управление загрузкой канала передачи, предоставляет необработанный маршрут передачи, состоящий лишь из конечных точек.  Отвечает за деление пользователей на группы. На этом уровне происходит маршрутизация пакетов на основе пре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образования MAC-адресов в сетевые адреса. Сетевой уровень обеспечивает также прозрачную передачу пакетов на транспортный уровень.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Протоколы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IP, IPv6, ICMP, IGMP, IPX, NWLink, NetBEUI, DDP, IPSec, ARP, RARP, DHCP, BootP, SKIP, RIP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Канальный уровень</w:t>
      </w:r>
      <w:r>
        <w:rPr>
          <w:b/>
        </w:rPr>
      </w:r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Осуществляет свободную от ошибок передачу по отдельному каналу связи.  Обеспечивает создание, передачу и прием кадров данных. Этот уровень обслуживает запросы сетевого уровня и использует сервис физического уровня для приема и передачи пакетов. Спецификаци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и IEEE 802.x делят канальный уровень на два подуровня: управление логическим каналом (LLC) и управление доступом к среде (MAC). LLC обеспечивает обслуживание сетевого уровня, а подуровень MAC регулирует доступ к разделяемой физической среде.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Протоколы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ARCnet, ATM, DTM, SLIP, SMDS, Ethernet, FDDI, Frame Relay, LocalTalk, Token ring, StarLan, WiFi, L2F, L2TP, PPTP, PPP, PPPoE, PROFIBUS,STP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Физический уровнь</w:t>
      </w:r>
      <w:r>
        <w:rPr>
          <w:b/>
        </w:rPr>
      </w:r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Выполняет реальную физическую передачу бит данных. Получает пакеты данных от вышележащего канального уровня и преобразует их в оптические или электрические сигналы, соответствующие 0 и 1 бинарного потока. Эти сигналы посылаются через среду передачи на прие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мный узел. Механические и электрические/оптические свойства среды передачи определяются на физическом уровне и включают:</w:t>
      </w:r>
      <w:r/>
    </w:p>
    <w:p>
      <w:pPr>
        <w:pStyle w:val="430"/>
        <w:numPr>
          <w:ilvl w:val="0"/>
          <w:numId w:val="1"/>
        </w:numPr>
        <w:ind w:right="0"/>
        <w:jc w:val="both"/>
        <w:spacing w:lineRule="atLeast" w:line="315" w:after="0" w:before="7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4050"/>
          <w:sz w:val="21"/>
        </w:rPr>
        <w:t xml:space="preserve">Тип кабелей и разъемов</w:t>
      </w:r>
      <w:r/>
    </w:p>
    <w:p>
      <w:pPr>
        <w:pStyle w:val="430"/>
        <w:numPr>
          <w:ilvl w:val="0"/>
          <w:numId w:val="1"/>
        </w:numPr>
        <w:ind w:right="0"/>
        <w:jc w:val="both"/>
        <w:spacing w:lineRule="atLeast" w:line="315" w:after="0" w:before="7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4050"/>
          <w:sz w:val="21"/>
        </w:rPr>
        <w:t xml:space="preserve">Разводку контактов в разъемах</w:t>
      </w:r>
      <w:r/>
    </w:p>
    <w:p>
      <w:pPr>
        <w:pStyle w:val="430"/>
        <w:numPr>
          <w:ilvl w:val="0"/>
          <w:numId w:val="1"/>
        </w:numPr>
        <w:ind w:right="0"/>
        <w:jc w:val="both"/>
        <w:spacing w:lineRule="atLeast" w:line="315" w:after="0" w:before="7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4050"/>
          <w:sz w:val="21"/>
        </w:rPr>
        <w:t xml:space="preserve">Схему кодирования сигналов для значений 0 и 1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Протоколы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RS-232, RS-422, RS-423, RS-449, RS-485, ITU-T, xDSL, ISDN, T-carrier (T1, E1), модификации стандарта Ethernet: 10BASE-T, 10BASE2, 10BASE5, 100BASE-T (включает 100BASE-TX, 100BASE-T4, 100BASE-FX), 1000BASE-T, 1000BASE-TX, 1000BASE-SX</w:t>
      </w:r>
      <w:r/>
    </w:p>
    <w:p>
      <w:pPr>
        <w:ind w:left="0" w:right="0" w:firstLine="0"/>
        <w:jc w:val="both"/>
        <w:spacing w:lineRule="atLeast" w:line="252" w:after="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Cтек TCP/IP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Модель </w:t>
      </w: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TCP/IP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 называют также моделью </w:t>
      </w: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DARPA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 (сокращение от Defense Advanced Research Projects Agency, организация, в которой в свое время разрабатывались сетевые проекты, в том числе протокол TCP/IP, и которая стояла у истоков сети Интернет) или моделью Министерства обороны CША (модель DoD, Departm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ent of Defense, проект DARPA работал по заказу этого ведомства).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Модель TCP/IP разрабатывалась для описания стека протоколов TCP/IP (Transmission Control Protocol/Internet Protocol). Она была разработана значительно раньше, чем модель OSI — в 1970 г. был разработан необходимый набор стандартов, а к 1978 году окончательн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о оформилось то, что сегодня мы называем TCP/IP. Позже стек адаптировали для использования в локальных сетях. В начале 1980 г. протокол стал составной частью ОС UNIX. В том же году появилась объединенная сеть Internet..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Стек протоколов </w:t>
      </w: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TCP/IP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 — набор сетевых протоколов, на которых базируется интернет. Обычно в стеке </w:t>
      </w:r>
      <w:r>
        <w:rPr>
          <w:rFonts w:ascii="Liberation Sans" w:hAnsi="Liberation Sans" w:cs="Liberation Sans" w:eastAsia="Liberation Sans"/>
          <w:b/>
          <w:color w:val="000000"/>
          <w:sz w:val="21"/>
        </w:rPr>
        <w:t xml:space="preserve">TCP/IP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 верхние 3 уровня (прикладной, представительный и сеансовый) модели OSI объединяют в один — прикладной. Поскольку в таком стеке не предусматривается унифицированный протокол передачи данных, функции по определению типа данных передаются приложению.</w:t>
      </w:r>
      <w:r/>
    </w:p>
    <w:p>
      <w:pPr>
        <w:ind w:left="0" w:right="0" w:firstLine="0"/>
        <w:jc w:val="both"/>
        <w:spacing w:after="18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1"/>
        </w:rPr>
        <w:t xml:space="preserve">В отличие от эталонной модели OSI, модель ТСР/IP в большей степени ориентируется на обеспечение сетевых взаимодействий, нежели на жесткое разделение функциональных уровней. Для этой цели она признает важность иерархической структуры функций, но предоставля</w:t>
      </w:r>
      <w:r>
        <w:rPr>
          <w:rFonts w:ascii="Liberation Sans" w:hAnsi="Liberation Sans" w:cs="Liberation Sans" w:eastAsia="Liberation Sans"/>
          <w:color w:val="000000"/>
          <w:sz w:val="21"/>
        </w:rPr>
        <w:t xml:space="preserve">ет проектировщикам протоколов достаточную гибкость в реализации. Соответственно, эталонная модель OSI гораздо лучше подходит для объяснения механики межкомпьютерных взаимодействий, но протокол TCP/IP стал основным межсетевым протоколом.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2020-11-11T16:04:05Z</dcterms:modified>
</cp:coreProperties>
</file>