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ÍNDICE DE EROSIÓN</w:t>
        <w:br/>
        <w:t>ORGANIZACIONAL®</w:t>
      </w:r>
    </w:p>
    <w:p>
      <w:pPr>
        <w:jc w:val="center"/>
      </w:pPr>
      <w:r>
        <w:rPr>
          <w:b/>
          <w:color w:val="4472C4"/>
          <w:sz w:val="40"/>
        </w:rPr>
        <w:t>PROTOCOLO OFICIAL DE APLICACIÓN</w:t>
      </w:r>
    </w:p>
    <w:p>
      <w:pPr>
        <w:jc w:val="center"/>
      </w:pPr>
      <w:r>
        <w:rPr>
          <w:sz w:val="25"/>
        </w:rPr>
        <w:br/>
        <w:t>Versión 1.0</w:t>
        <w:br/>
        <w:t>Marco normativo para la preparación, administración, control y cierre del levantamiento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Este Protocolo regula cómo se obtiene la evidencia del IEO®. No calcula, interpreta ni prescribe intervenciones. Su función es asegurar que el levantamiento sea consistente, ético, trazable y suficientemente documentado.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 de 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Documento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Protocolo Oficial de Aplicación IEO®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Versión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Compatibilidad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Sistema IEO® 1.1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Alcance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Preparación, administración, validación, cierre y transferencia del levantamiento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Estado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Oficial para pilotaje y calibración</w:t>
            </w:r>
          </w:p>
        </w:tc>
      </w:tr>
    </w:tbl>
    <w:p/>
    <w:p>
      <w:pPr>
        <w:pStyle w:val="Heading1"/>
      </w:pPr>
      <w:r>
        <w:t>1. Propósito, alcance y función del Protocolo</w:t>
      </w:r>
    </w:p>
    <w:p>
      <w:r>
        <w:t>El Protocolo Oficial de Aplicación IEO® establece las condiciones, responsabilidades, controles y criterios que deberán observarse durante la preparación, administración, cierre y validación del levantamiento de información del Índice de Erosión Organizacional®.</w:t>
      </w:r>
    </w:p>
    <w:p>
      <w:r>
        <w:t>Su finalidad es asegurar que los datos que posteriormente serán procesados por el Modelo Matemático y el Protocolo de Integración y Triangulación hayan sido obtenidos bajo condiciones metodológicamente consistentes, éticamente responsables y suficientemente documentadas.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Pregunta rectora: ¿podemos confiar en que la información recolectada representa adecuadamente las perspectivas que pretendemos diagnosticar?</w:t>
            </w:r>
          </w:p>
        </w:tc>
      </w:tr>
    </w:tbl>
    <w:p/>
    <w:p>
      <w:r>
        <w:t>El Protocolo regula la obtención de evidencia. No modifica fórmulas, no interpreta resultados y no define intervenciones.</w:t>
      </w:r>
    </w:p>
    <w:p>
      <w:pPr>
        <w:pStyle w:val="Heading1"/>
      </w:pPr>
      <w:r>
        <w:t>2. Principios Oficiales de Aplicación</w:t>
      </w:r>
    </w:p>
    <w:p>
      <w:r>
        <w:rPr>
          <w:b/>
        </w:rPr>
        <w:t xml:space="preserve">Propósito informado. </w:t>
      </w:r>
      <w:r>
        <w:t>Los participantes deberán conocer para qué se realiza el diagnóstico y cómo se utilizará la información.</w:t>
      </w:r>
    </w:p>
    <w:p>
      <w:r>
        <w:rPr>
          <w:b/>
        </w:rPr>
        <w:t xml:space="preserve">Participación voluntaria. </w:t>
      </w:r>
      <w:r>
        <w:t>Ninguna persona deberá ser obligada, intimidada o penalizada por participar o no participar.</w:t>
      </w:r>
    </w:p>
    <w:p>
      <w:r>
        <w:rPr>
          <w:b/>
        </w:rPr>
        <w:t xml:space="preserve">Confidencialidad. </w:t>
      </w:r>
      <w:r>
        <w:t>Las respuestas individuales no deberán entregarse a jefes, directivos, compañeros u otros participantes.</w:t>
      </w:r>
    </w:p>
    <w:p>
      <w:r>
        <w:rPr>
          <w:b/>
        </w:rPr>
        <w:t xml:space="preserve">Independencia de respuesta. </w:t>
      </w:r>
      <w:r>
        <w:t>Cada participante deberá responder desde su propia experiencia, sin orientación sobre cuál sería una respuesta deseable.</w:t>
      </w:r>
    </w:p>
    <w:p>
      <w:r>
        <w:rPr>
          <w:b/>
        </w:rPr>
        <w:t xml:space="preserve">Pertinencia de perspectiva. </w:t>
      </w:r>
      <w:r>
        <w:t>Cada instrumento deberá ser respondido por personas que efectivamente puedan observar la perspectiva que pretende representar.</w:t>
      </w:r>
    </w:p>
    <w:p>
      <w:r>
        <w:rPr>
          <w:b/>
        </w:rPr>
        <w:t xml:space="preserve">Trazabilidad. </w:t>
      </w:r>
      <w:r>
        <w:t>Toda decisión relevante de aplicación deberá poder documentarse posteriormente.</w:t>
      </w:r>
    </w:p>
    <w:p>
      <w:r>
        <w:rPr>
          <w:b/>
        </w:rPr>
        <w:t xml:space="preserve">No manipulación. </w:t>
      </w:r>
      <w:r>
        <w:t>No deberán alterarse poblaciones, respuestas, criterios o ventanas de aplicación para favorecer determinados resultados.</w:t>
      </w:r>
    </w:p>
    <w:p>
      <w:r>
        <w:rPr>
          <w:b/>
        </w:rPr>
        <w:t xml:space="preserve">Transparencia metodológica. </w:t>
      </w:r>
      <w:r>
        <w:t>Las ausencias de información, incidencias y limitaciones deberán permanecer visibles.</w:t>
      </w:r>
    </w:p>
    <w:p>
      <w:pPr>
        <w:pStyle w:val="Heading1"/>
      </w:pPr>
      <w:r>
        <w:t>3. Roles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Responsabilidad principal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Sponsor Ejecutivo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Autoriza el diagnóstico, facilita acceso a poblaciones y respalda institucionalmente el proceso. No accede automáticamente a respuestas individuales.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Consultor IEO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Responsable metodológico: define alcance, valida poblaciones, supervisa administración, controla incidencias, revisa suficiencia y autoriza el cierre.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Coordinador Interno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Facilita bases, comunicación, logística y acceso. No interpreta ni vigila respuestas.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Responsable Técnico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 plataforma, enlaces, accesos, bases, protección técnica y exportación de datos cuando corresponda.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Participante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Responde desde su experiencia y perspectiva; no necesita justificar sus respuestas ante la organización.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Regla de gobernanza: ningún rol organizacional autoriza acceso automático a respuestas individuales.</w:t>
            </w:r>
          </w:p>
        </w:tc>
      </w:tr>
    </w:tbl>
    <w:p/>
    <w:p>
      <w:pPr>
        <w:pStyle w:val="Heading1"/>
      </w:pPr>
      <w:r>
        <w:t>4. Definición del Alcance Diagnóstico</w:t>
      </w:r>
    </w:p>
    <w:p>
      <w:r>
        <w:t>Antes de liberar cualquier instrumento deberá elaborarse una Ficha de Alcance de Aplicación que establezca, como mínimo:</w:t>
      </w:r>
    </w:p>
    <w:p>
      <w:pPr>
        <w:pStyle w:val="ListBullet"/>
      </w:pPr>
      <w:r>
        <w:t>organización y unidad o unidades incluidas;</w:t>
      </w:r>
    </w:p>
    <w:p>
      <w:pPr>
        <w:pStyle w:val="ListBullet"/>
      </w:pPr>
      <w:r>
        <w:t>sedes y periodo diagnóstico;</w:t>
      </w:r>
    </w:p>
    <w:p>
      <w:pPr>
        <w:pStyle w:val="ListBullet"/>
      </w:pPr>
      <w:r>
        <w:t>población total aproximada;</w:t>
      </w:r>
    </w:p>
    <w:p>
      <w:pPr>
        <w:pStyle w:val="ListBullet"/>
      </w:pPr>
      <w:r>
        <w:t>perspectivas aplicables;</w:t>
      </w:r>
    </w:p>
    <w:p>
      <w:pPr>
        <w:pStyle w:val="ListBullet"/>
      </w:pPr>
      <w:r>
        <w:t>exclusiones y segmentos relevantes;</w:t>
      </w:r>
    </w:p>
    <w:p>
      <w:pPr>
        <w:pStyle w:val="ListBullet"/>
      </w:pPr>
      <w:r>
        <w:t>modalidad de aplicación;</w:t>
      </w:r>
    </w:p>
    <w:p>
      <w:pPr>
        <w:pStyle w:val="ListBullet"/>
      </w:pPr>
      <w:r>
        <w:t>ventana prevista;</w:t>
      </w:r>
    </w:p>
    <w:p>
      <w:pPr>
        <w:pStyle w:val="ListBullet"/>
      </w:pPr>
      <w:r>
        <w:t>responsables;</w:t>
      </w:r>
    </w:p>
    <w:p>
      <w:pPr>
        <w:pStyle w:val="ListBullet"/>
      </w:pPr>
      <w:r>
        <w:t>propósito del diagnóstico.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Regla oficial: el alcance deberá definirse antes de observar los resultados. Cualquier modificación posterior deberá quedar documentada y justificada.</w:t>
            </w:r>
          </w:p>
        </w:tc>
      </w:tr>
    </w:tbl>
    <w:p/>
    <w:p>
      <w:pPr>
        <w:pStyle w:val="Heading1"/>
      </w:pPr>
      <w:r>
        <w:t>5. Determinación de Perspectivas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Perspectiva</w:t>
            </w:r>
          </w:p>
        </w:tc>
        <w:tc>
          <w:tcPr>
            <w:tcW w:type="dxa" w:w="3351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Qué representa</w:t>
            </w:r>
          </w:p>
        </w:tc>
        <w:tc>
          <w:tcPr>
            <w:tcW w:type="dxa" w:w="3351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Estados permitidos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Dirección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Intención y conducción estratégica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Aplicable / No aplicable / No disponible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Especialistas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Institucionalización mediante procesos, datos y prácticas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Aplicable / No aplicable / No disponible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Liderazgo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Traducción y ejecución con equipos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Aplicable / No aplicable / No disponible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Colaboradores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Experiencia cotidiana de la organización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Aplicable / No aplicable / No disponible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Voz del Cliente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Experiencia y percepción externa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Aplicable / No aplicable / No disponible</w:t>
            </w:r>
          </w:p>
        </w:tc>
      </w:tr>
    </w:tbl>
    <w:p/>
    <w:p>
      <w:r>
        <w:t>Aplicable significa que existe una población válida que puede representar la perspectiva. No aplicable significa que la estructura o naturaleza de la organización no contiene razonablemente esa perspectiva. No disponible significa que la perspectiva sería pertinente, pero no fue posible obtener evidencia suficiente.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Una perspectiva no disponible no puede sustituirse por otra ni imputarse.</w:t>
            </w:r>
          </w:p>
        </w:tc>
      </w:tr>
    </w:tbl>
    <w:p/>
    <w:p>
      <w:pPr>
        <w:pStyle w:val="Heading1"/>
      </w:pPr>
      <w:r>
        <w:t>6. Conformación de Poblaciones</w:t>
      </w:r>
    </w:p>
    <w:p>
      <w:r>
        <w:rPr>
          <w:b/>
        </w:rPr>
        <w:t xml:space="preserve">Dirección. </w:t>
      </w:r>
      <w:r>
        <w:t>Personas con responsabilidad real sobre conducción estratégica y decisiones organizacionales relevantes.</w:t>
      </w:r>
    </w:p>
    <w:p>
      <w:r>
        <w:rPr>
          <w:b/>
        </w:rPr>
        <w:t xml:space="preserve">Especialistas. </w:t>
      </w:r>
      <w:r>
        <w:t>Personas responsables de diseñar, administrar, custodiar o institucionalizar sistemas, procesos y prácticas organizacionales relevantes.</w:t>
      </w:r>
    </w:p>
    <w:p>
      <w:r>
        <w:rPr>
          <w:b/>
        </w:rPr>
        <w:t xml:space="preserve">Liderazgo. </w:t>
      </w:r>
      <w:r>
        <w:t>Personas responsables de traducir decisiones organizacionales a equipos y coordinar su ejecución.</w:t>
      </w:r>
    </w:p>
    <w:p>
      <w:r>
        <w:rPr>
          <w:b/>
        </w:rPr>
        <w:t xml:space="preserve">Colaboradores. </w:t>
      </w:r>
      <w:r>
        <w:t>Personas que experimentan cotidianamente prácticas, procesos, liderazgo y condiciones organizacionales.</w:t>
      </w:r>
    </w:p>
    <w:p>
      <w:r>
        <w:rPr>
          <w:b/>
        </w:rPr>
        <w:t xml:space="preserve">Voz del Cliente. </w:t>
      </w:r>
      <w:r>
        <w:t>Clientes con experiencia reciente y suficiente para valorar razonablemente la relación con la organización.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Regla transversal: la pertenencia a una perspectiva depende de la evidencia que la persona puede observar, no únicamente de su título.</w:t>
            </w:r>
          </w:p>
        </w:tc>
      </w:tr>
    </w:tbl>
    <w:p/>
    <w:p>
      <w:pPr>
        <w:pStyle w:val="Heading1"/>
      </w:pPr>
      <w:r>
        <w:t>7. Censo, Muestra y Plan de Cobertura</w:t>
      </w:r>
    </w:p>
    <w:p>
      <w:r>
        <w:t>Siempre que sea viable podrá invitarse a la totalidad de una población. Cuando el censo no resulte práctico, podrá utilizarse una muestra. El IEO no establece un porcentaje universal de participación que, por sí solo, garantice representatividad.</w:t>
      </w:r>
    </w:p>
    <w:p>
      <w:r>
        <w:t>La suficiencia deberá valorarse considerando conjuntamente:</w:t>
      </w:r>
    </w:p>
    <w:p>
      <w:pPr>
        <w:pStyle w:val="ListBullet"/>
      </w:pPr>
      <w:r>
        <w:t>tamaño de la población;</w:t>
      </w:r>
    </w:p>
    <w:p>
      <w:pPr>
        <w:pStyle w:val="ListBullet"/>
      </w:pPr>
      <w:r>
        <w:t>número de respuestas;</w:t>
      </w:r>
    </w:p>
    <w:p>
      <w:pPr>
        <w:pStyle w:val="ListBullet"/>
      </w:pPr>
      <w:r>
        <w:t>distribución entre unidades;</w:t>
      </w:r>
    </w:p>
    <w:p>
      <w:pPr>
        <w:pStyle w:val="ListBullet"/>
      </w:pPr>
      <w:r>
        <w:t>niveles organizacionales;</w:t>
      </w:r>
    </w:p>
    <w:p>
      <w:pPr>
        <w:pStyle w:val="ListBullet"/>
      </w:pPr>
      <w:r>
        <w:t>diversidad funcional;</w:t>
      </w:r>
    </w:p>
    <w:p>
      <w:pPr>
        <w:pStyle w:val="ListBullet"/>
      </w:pPr>
      <w:r>
        <w:t>sedes;</w:t>
      </w:r>
    </w:p>
    <w:p>
      <w:pPr>
        <w:pStyle w:val="ListBullet"/>
      </w:pPr>
      <w:r>
        <w:t>segmentos relevantes;</w:t>
      </w:r>
    </w:p>
    <w:p>
      <w:pPr>
        <w:pStyle w:val="ListBullet"/>
      </w:pPr>
      <w:r>
        <w:t>propósito del diagnóstico;</w:t>
      </w:r>
    </w:p>
    <w:p>
      <w:pPr>
        <w:pStyle w:val="ListBullet"/>
      </w:pPr>
      <w:r>
        <w:t>concentración o ausencia de determinados grupos.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Perspectiva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Población estimada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Invitados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Respuestas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Distribución relevante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Dirección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Especialistas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Liderazgo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Colaboradores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Voz del Cliente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 pregunta no es solamente “¿llegamos a X %?”, sino “¿la evidencia disponible permite sostener las conclusiones que pretendemos formular?”</w:t>
            </w:r>
          </w:p>
        </w:tc>
      </w:tr>
    </w:tbl>
    <w:p/>
    <w:p>
      <w:pPr>
        <w:pStyle w:val="Heading1"/>
      </w:pPr>
      <w:r>
        <w:t>8. Preparación Técnica del Levantamiento</w:t>
      </w:r>
    </w:p>
    <w:p>
      <w:r>
        <w:t>Antes de la apertura deberán verificarse:</w:t>
      </w:r>
    </w:p>
    <w:p>
      <w:pPr>
        <w:pStyle w:val="ListBullet"/>
      </w:pPr>
      <w:r>
        <w:t>versión correcta de cada instrumento y correspondencia con el Banco Maestro;</w:t>
      </w:r>
    </w:p>
    <w:p>
      <w:pPr>
        <w:pStyle w:val="ListBullet"/>
      </w:pPr>
      <w:r>
        <w:t>escala oficial y funcionamiento de N/A donde corresponda;</w:t>
      </w:r>
    </w:p>
    <w:p>
      <w:pPr>
        <w:pStyle w:val="ListBullet"/>
      </w:pPr>
      <w:r>
        <w:t>reactivos inversos correctamente identificados;</w:t>
      </w:r>
    </w:p>
    <w:p>
      <w:pPr>
        <w:pStyle w:val="ListBullet"/>
      </w:pPr>
      <w:r>
        <w:t>preguntas abiertas y obligatoriedad de campos;</w:t>
      </w:r>
    </w:p>
    <w:p>
      <w:pPr>
        <w:pStyle w:val="ListBullet"/>
      </w:pPr>
      <w:r>
        <w:t>enlaces, dispositivos, accesos y compatibilidad técnica;</w:t>
      </w:r>
    </w:p>
    <w:p>
      <w:pPr>
        <w:pStyle w:val="ListBullet"/>
      </w:pPr>
      <w:r>
        <w:t>exportación y codificación de datos;</w:t>
      </w:r>
    </w:p>
    <w:p>
      <w:pPr>
        <w:pStyle w:val="ListBullet"/>
      </w:pPr>
      <w:r>
        <w:t>protección y almacenamiento de información;</w:t>
      </w:r>
    </w:p>
    <w:p>
      <w:pPr>
        <w:pStyle w:val="ListBullet"/>
      </w:pPr>
      <w:r>
        <w:t>fechas, mensajes y responsables.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Toda aplicación deberá realizar una prueba técnica previa. Las respuestas de prueba deberán excluirse del diagnóstico.</w:t>
            </w:r>
          </w:p>
        </w:tc>
      </w:tr>
    </w:tbl>
    <w:p/>
    <w:p>
      <w:pPr>
        <w:pStyle w:val="Heading1"/>
      </w:pPr>
      <w:r>
        <w:t>9. Comunicación y Consentimiento Informado</w:t>
      </w:r>
    </w:p>
    <w:p>
      <w:r>
        <w:t>Toda invitación deberá explicar, en lenguaje sencillo:</w:t>
      </w:r>
    </w:p>
    <w:p>
      <w:pPr>
        <w:pStyle w:val="ListBullet"/>
      </w:pPr>
      <w:r>
        <w:t>qué es el IEO y por qué se realiza;</w:t>
      </w:r>
    </w:p>
    <w:p>
      <w:pPr>
        <w:pStyle w:val="ListBullet"/>
      </w:pPr>
      <w:r>
        <w:t>quién está invitando y quién administrará el proceso;</w:t>
      </w:r>
    </w:p>
    <w:p>
      <w:pPr>
        <w:pStyle w:val="ListBullet"/>
      </w:pPr>
      <w:r>
        <w:t>duración aproximada;</w:t>
      </w:r>
    </w:p>
    <w:p>
      <w:pPr>
        <w:pStyle w:val="ListBullet"/>
      </w:pPr>
      <w:r>
        <w:t>que deberá responderse desde la propia experiencia;</w:t>
      </w:r>
    </w:p>
    <w:p>
      <w:pPr>
        <w:pStyle w:val="ListBullet"/>
      </w:pPr>
      <w:r>
        <w:t>que no existen respuestas correctas;</w:t>
      </w:r>
    </w:p>
    <w:p>
      <w:pPr>
        <w:pStyle w:val="ListBullet"/>
      </w:pPr>
      <w:r>
        <w:t>que la participación es voluntaria;</w:t>
      </w:r>
    </w:p>
    <w:p>
      <w:pPr>
        <w:pStyle w:val="ListBullet"/>
      </w:pPr>
      <w:r>
        <w:t>cómo se protegerá la confidencialidad;</w:t>
      </w:r>
    </w:p>
    <w:p>
      <w:pPr>
        <w:pStyle w:val="ListBullet"/>
      </w:pPr>
      <w:r>
        <w:t>cómo se utilizarán los resultados;</w:t>
      </w:r>
    </w:p>
    <w:p>
      <w:pPr>
        <w:pStyle w:val="ListBullet"/>
      </w:pPr>
      <w:r>
        <w:t>fecha límite y canal para dudas.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 comunicación debe generar confianza, no preparar respuestas. Deben evitarse mensajes orientados a “obtener buenos resultados” o que sugieran vigilancia de respuestas individuales.</w:t>
            </w:r>
          </w:p>
        </w:tc>
      </w:tr>
    </w:tbl>
    <w:p/>
    <w:p>
      <w:pPr>
        <w:pStyle w:val="Heading1"/>
      </w:pPr>
      <w:r>
        <w:t>10. Administración de los Instrumentos</w:t>
      </w:r>
    </w:p>
    <w:p>
      <w:r>
        <w:t>La aplicación podrá realizarse digitalmente, de manera presencial o mediante un mecanismo asistido cuando las condiciones de la población lo requieran. En cualquier modalidad deberán conservarse privacidad, independencia, equivalencia de instrucciones, integridad de reactivos, orden del instrumento, escala y opciones de respuesta.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administrador puede aclarar cómo responder, pero no qué sería deseable responder.</w:t>
            </w:r>
          </w:p>
        </w:tc>
      </w:tr>
    </w:tbl>
    <w:p/>
    <w:p>
      <w:pPr>
        <w:pStyle w:val="Heading1"/>
      </w:pPr>
      <w:r>
        <w:t>11. Reglas de Respuesta: N/A, ND, NP, Inversos e Incompletos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Código / condición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Regla oficial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N/A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aplica / no cuenta con información o experiencia suficiente. Se excluye del denominador; no equivale a cero ni a neutral.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ND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Evidencia insuficiente para diagnóstico. No se imputa, no se promedia y debe permanecer visible.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NP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Perspectiva no aplicada. Indica que esa perspectiva no formó parte del alcance del diagnóstico.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Reactivos inversos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 conservan intactos durante la aplicación y se recodifican durante el procesamiento.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Cuestionarios incompletos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se eliminan automáticamente; se evalúan Elemento por Elemento.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Cobertura individual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 requiere al menos 60 % de respuestas válidas en los reactivos de un Elemento para calcular la puntuación individual correspondiente.</w:t>
            </w:r>
          </w:p>
        </w:tc>
      </w:tr>
    </w:tbl>
    <w:p/>
    <w:p>
      <w:r>
        <w:t>La secuencia posterior de procesamiento será: Validar → Recodificar inversos → Excluir N/A → Verificar cobertura de 60 % → Convertir a escala 0–100 → Calcular.</w:t>
      </w:r>
    </w:p>
    <w:p>
      <w:pPr>
        <w:pStyle w:val="Heading1"/>
      </w:pPr>
      <w:r>
        <w:t>12. Ventana de Aplicación y Seguimiento de Participación</w:t>
      </w:r>
    </w:p>
    <w:p>
      <w:r>
        <w:t>Toda aplicación deberá contar con fecha de apertura, fecha prevista de cierre, mecanismo de recordatorio, responsable y criterio para cualquier extensión.</w:t>
      </w:r>
    </w:p>
    <w:p>
      <w:r>
        <w:t>Los recordatorios deberán ser generales, respetuosos y no coercitivos.</w:t>
      </w:r>
    </w:p>
    <w:p>
      <w:r>
        <w:t>Cuando sea técnicamente posible, identidad de participación y contenido de respuesta deberán mantenerse separados.</w:t>
      </w:r>
    </w:p>
    <w:p>
      <w:pPr>
        <w:pStyle w:val="Heading2"/>
      </w:pPr>
      <w:r>
        <w:t>Prácticas de seguimiento no permitidas</w:t>
      </w:r>
    </w:p>
    <w:p>
      <w:pPr>
        <w:pStyle w:val="ListBullet"/>
      </w:pPr>
      <w:r>
        <w:t>solicitar capturas de pantalla como comprobante;</w:t>
      </w:r>
    </w:p>
    <w:p>
      <w:pPr>
        <w:pStyle w:val="ListBullet"/>
      </w:pPr>
      <w:r>
        <w:t>pedir demostrar frente a un jefe que se respondió;</w:t>
      </w:r>
    </w:p>
    <w:p>
      <w:pPr>
        <w:pStyle w:val="ListBullet"/>
      </w:pPr>
      <w:r>
        <w:t>mostrar públicamente quién falta;</w:t>
      </w:r>
    </w:p>
    <w:p>
      <w:pPr>
        <w:pStyle w:val="ListBullet"/>
      </w:pPr>
      <w:r>
        <w:t>condicionar beneficios o penalizar no participación;</w:t>
      </w:r>
    </w:p>
    <w:p>
      <w:pPr>
        <w:pStyle w:val="ListBullet"/>
      </w:pPr>
      <w:r>
        <w:t>permitir que un jefe observe mientras su colaborador responde.</w:t>
      </w:r>
    </w:p>
    <w:p>
      <w:pPr>
        <w:pStyle w:val="Heading1"/>
      </w:pPr>
      <w:r>
        <w:t>13. Confidencialidad, Anonimato y Riesgo de Reidentificación</w:t>
      </w:r>
    </w:p>
    <w:p>
      <w:r>
        <w:t>No se reportarán resultados segmentados cuando exista riesgo razonable de identificar a una persona. La protección no se basará únicamente en un tamaño mínimo universal, sino en el riesgo real de reidentificación.</w:t>
      </w:r>
    </w:p>
    <w:p>
      <w:r>
        <w:t>El consultor deberá valorar:</w:t>
      </w:r>
    </w:p>
    <w:p>
      <w:pPr>
        <w:pStyle w:val="ListBullet"/>
      </w:pPr>
      <w:r>
        <w:t>tamaño del segmento;</w:t>
      </w:r>
    </w:p>
    <w:p>
      <w:pPr>
        <w:pStyle w:val="ListBullet"/>
      </w:pPr>
      <w:r>
        <w:t>posición jerárquica;</w:t>
      </w:r>
    </w:p>
    <w:p>
      <w:pPr>
        <w:pStyle w:val="ListBullet"/>
      </w:pPr>
      <w:r>
        <w:t>singularidad del puesto;</w:t>
      </w:r>
    </w:p>
    <w:p>
      <w:pPr>
        <w:pStyle w:val="ListBullet"/>
      </w:pPr>
      <w:r>
        <w:t>sede;</w:t>
      </w:r>
    </w:p>
    <w:p>
      <w:pPr>
        <w:pStyle w:val="ListBullet"/>
      </w:pPr>
      <w:r>
        <w:t>cruces de variables;</w:t>
      </w:r>
    </w:p>
    <w:p>
      <w:pPr>
        <w:pStyle w:val="ListBullet"/>
      </w:pPr>
      <w:r>
        <w:t>contenido de respuestas abiertas;</w:t>
      </w:r>
    </w:p>
    <w:p>
      <w:pPr>
        <w:pStyle w:val="ListBullet"/>
      </w:pPr>
      <w:r>
        <w:t>combinaciones que permitan inferir identidad.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Las respuestas abiertas deberán anonimizarse cuando una cita, contexto o detalle pueda revelar razonablemente la identidad del participante.</w:t>
            </w:r>
          </w:p>
        </w:tc>
      </w:tr>
    </w:tbl>
    <w:p/>
    <w:p>
      <w:pPr>
        <w:pStyle w:val="Heading1"/>
      </w:pPr>
      <w:r>
        <w:t>14. Protocolo Específico de Voz del Cliente</w:t>
      </w:r>
    </w:p>
    <w:p>
      <w:pPr>
        <w:pStyle w:val="Heading2"/>
      </w:pPr>
      <w:r>
        <w:t>14.1 B2C</w:t>
      </w:r>
    </w:p>
    <w:p>
      <w:r>
        <w:t>La selección deberá procurar diversidad razonable de experiencias y evitar sesgos deliberados hacia clientes promotores o especialmente satisfechos.</w:t>
      </w:r>
    </w:p>
    <w:p>
      <w:pPr>
        <w:pStyle w:val="Heading2"/>
      </w:pPr>
      <w:r>
        <w:t>14.2 B2B</w:t>
      </w:r>
    </w:p>
    <w:p>
      <w:r>
        <w:t>Antes de aplicar deberá definirse la unidad de análisis: cuenta, comprador, usuario, decisor, contacto operativo o combinación metodológicamente justificada.</w:t>
      </w:r>
    </w:p>
    <w:p>
      <w:r>
        <w:t>Cuando varias personas pertenezcan a una misma cuenta, deberá documentarse para evitar interpretar múltiples respuestas como si fueran múltiples clientes independientes sin reconocer esa concentración.</w:t>
      </w:r>
    </w:p>
    <w:p>
      <w:pPr>
        <w:pStyle w:val="Heading2"/>
      </w:pPr>
      <w:r>
        <w:t>14.3 Temporalidad</w:t>
      </w:r>
    </w:p>
    <w:p>
      <w:r>
        <w:t>El cliente deberá contar con experiencia suficientemente reciente y suficiente para valorar razonablemente a la organización.</w:t>
      </w:r>
    </w:p>
    <w:p>
      <w:pPr>
        <w:pStyle w:val="Heading1"/>
      </w:pPr>
      <w:r>
        <w:t>15. Control de Calidad de Respuestas e Incidencias</w:t>
      </w:r>
    </w:p>
    <w:p>
      <w:r>
        <w:t>Antes del cálculo deberán revisarse, entre otras condiciones:</w:t>
      </w:r>
    </w:p>
    <w:p>
      <w:pPr>
        <w:pStyle w:val="ListBullet"/>
      </w:pPr>
      <w:r>
        <w:t>duplicados técnicos o envíos repetidos;</w:t>
      </w:r>
    </w:p>
    <w:p>
      <w:pPr>
        <w:pStyle w:val="ListBullet"/>
      </w:pPr>
      <w:r>
        <w:t>respuestas generadas durante pruebas;</w:t>
      </w:r>
    </w:p>
    <w:p>
      <w:pPr>
        <w:pStyle w:val="ListBullet"/>
      </w:pPr>
      <w:r>
        <w:t>registros fuera de la población definida;</w:t>
      </w:r>
    </w:p>
    <w:p>
      <w:pPr>
        <w:pStyle w:val="ListBullet"/>
      </w:pPr>
      <w:r>
        <w:t>patrones técnicamente imposibles o incidencias conocidas;</w:t>
      </w:r>
    </w:p>
    <w:p>
      <w:pPr>
        <w:pStyle w:val="ListBullet"/>
      </w:pPr>
      <w:r>
        <w:t>errores de configuración;</w:t>
      </w:r>
    </w:p>
    <w:p>
      <w:pPr>
        <w:pStyle w:val="ListBullet"/>
      </w:pPr>
      <w:r>
        <w:t>presión o manipulación reportada;</w:t>
      </w:r>
    </w:p>
    <w:p>
      <w:pPr>
        <w:pStyle w:val="ListBullet"/>
      </w:pPr>
      <w:r>
        <w:t>modificaciones de ventana o alcance.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Una respuesta no se excluye por ser extrema o desfavorable. Toda exclusión debe tener una razón metodológica documentable.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Perspectiva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Incidencia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Impacto potencial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Acción tomada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16. Validación del Levantamiento y Dictamen de Calidad</w:t>
      </w:r>
    </w:p>
    <w:p>
      <w:r>
        <w:t>Al cerrar la ventana, el Consultor IEO revisará cinco dimensiones: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Pregunta de control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Integridad técnica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¿Los instrumentos y datos corresponden a las versiones oficiales?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Cobertura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¿Existe evidencia suficiente para las perspectivas y segmentos incluidos?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Diversidad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¿La participación representa razonablemente la estructura que se pretende observar?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Independencia / confidencialidad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¿Existen indicios de presión, manipulación o riesgo relevante de identificación?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Incidencias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¿Alguna desviación compromete significativamente la interpretación?</w:t>
            </w:r>
          </w:p>
        </w:tc>
      </w:tr>
    </w:tbl>
    <w:p/>
    <w:p>
      <w:pPr>
        <w:pStyle w:val="Heading2"/>
      </w:pPr>
      <w:r>
        <w:t>16.1 Dictamen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Dictamen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 — Aplicación metodológicamente válida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existen incidencias relevantes que comprometan el diagnóstico y la cobertura es adecuada para el alcance definido.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 — Aplicación válida con reservas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 datos pueden utilizarse, pero existen limitaciones que deberán acompañar explícitamente la interpretación y el reporte.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 — Evidencia insuficiente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 condiciones no permiten sostener responsablemente determinadas conclusiones.</w:t>
            </w:r>
          </w:p>
        </w:tc>
      </w:tr>
    </w:tbl>
    <w:p/>
    <w:p>
      <w:r>
        <w:t>El dictamen podrá establecerse globalmente, por perspectiva y, excepcionalmente, por Elemento.</w:t>
      </w:r>
    </w:p>
    <w:p>
      <w:pPr>
        <w:pStyle w:val="Heading1"/>
      </w:pPr>
      <w:r>
        <w:t>17. Cierre Oficial y Transferencia a Procesamiento</w:t>
      </w:r>
    </w:p>
    <w:p>
      <w:r>
        <w:t>Antes de transferir datos deberá generarse un Acta Oficial de Cierre del Levantamiento que registre:</w:t>
      </w:r>
    </w:p>
    <w:p>
      <w:pPr>
        <w:pStyle w:val="ListBullet"/>
      </w:pPr>
      <w:r>
        <w:t>alcance finalmente aplicado;</w:t>
      </w:r>
    </w:p>
    <w:p>
      <w:pPr>
        <w:pStyle w:val="ListBullet"/>
      </w:pPr>
      <w:r>
        <w:t>instrumentos y versiones utilizados;</w:t>
      </w:r>
    </w:p>
    <w:p>
      <w:pPr>
        <w:pStyle w:val="ListBullet"/>
      </w:pPr>
      <w:r>
        <w:t>fechas;</w:t>
      </w:r>
    </w:p>
    <w:p>
      <w:pPr>
        <w:pStyle w:val="ListBullet"/>
      </w:pPr>
      <w:r>
        <w:t>poblaciones invitadas y participación obtenida;</w:t>
      </w:r>
    </w:p>
    <w:p>
      <w:pPr>
        <w:pStyle w:val="ListBullet"/>
      </w:pPr>
      <w:r>
        <w:t>perspectivas disponibles, no aplicables o no disponibles;</w:t>
      </w:r>
    </w:p>
    <w:p>
      <w:pPr>
        <w:pStyle w:val="ListBullet"/>
      </w:pPr>
      <w:r>
        <w:t>incidencias y exclusiones;</w:t>
      </w:r>
    </w:p>
    <w:p>
      <w:pPr>
        <w:pStyle w:val="ListBullet"/>
      </w:pPr>
      <w:r>
        <w:t>restricciones y reservas;</w:t>
      </w:r>
    </w:p>
    <w:p>
      <w:pPr>
        <w:pStyle w:val="ListBullet"/>
      </w:pPr>
      <w:r>
        <w:t>dictamen de calidad;</w:t>
      </w:r>
    </w:p>
    <w:p>
      <w:pPr>
        <w:pStyle w:val="ListBullet"/>
      </w:pPr>
      <w:r>
        <w:t>responsable metodológico;</w:t>
      </w:r>
    </w:p>
    <w:p>
      <w:pPr>
        <w:pStyle w:val="ListBullet"/>
      </w:pPr>
      <w:r>
        <w:t>fecha de autorización para procesamiento.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Frontera formal: Aplicación cerrada → datos congelados → procesamiento autorizado.</w:t>
            </w:r>
          </w:p>
        </w:tc>
      </w:tr>
    </w:tbl>
    <w:p/>
    <w:p>
      <w:r>
        <w:t>La transferencia deberá conservar la secuencia oficial del Modelo Matemático: Validar → Recodificar inversos → Excluir N/A → Verificar 60 % → Convertir 0–100 → PI → RP → BT → RI → IEO.</w:t>
      </w:r>
    </w:p>
    <w:p>
      <w:pPr>
        <w:pStyle w:val="Heading1"/>
      </w:pPr>
      <w:r>
        <w:t>18. Prácticas Prohibidas, Trazabilidad y Control de Versiones</w:t>
      </w:r>
    </w:p>
    <w:p>
      <w:pPr>
        <w:pStyle w:val="Heading2"/>
      </w:pPr>
      <w:r>
        <w:t>18.1 Prácticas expresamente prohibidas</w:t>
      </w:r>
    </w:p>
    <w:p>
      <w:pPr>
        <w:pStyle w:val="ListBullet"/>
      </w:pPr>
      <w:r>
        <w:t>modificar reactivos sin control de versión;</w:t>
      </w:r>
    </w:p>
    <w:p>
      <w:pPr>
        <w:pStyle w:val="ListBullet"/>
      </w:pPr>
      <w:r>
        <w:t>sugerir o inducir respuestas;</w:t>
      </w:r>
    </w:p>
    <w:p>
      <w:pPr>
        <w:pStyle w:val="ListBullet"/>
      </w:pPr>
      <w:r>
        <w:t>observar individualmente mientras una persona responde;</w:t>
      </w:r>
    </w:p>
    <w:p>
      <w:pPr>
        <w:pStyle w:val="ListBullet"/>
      </w:pPr>
      <w:r>
        <w:t>entregar respuestas individuales a Dirección;</w:t>
      </w:r>
    </w:p>
    <w:p>
      <w:pPr>
        <w:pStyle w:val="ListBullet"/>
      </w:pPr>
      <w:r>
        <w:t>fabricar datos faltantes;</w:t>
      </w:r>
    </w:p>
    <w:p>
      <w:pPr>
        <w:pStyle w:val="ListBullet"/>
      </w:pPr>
      <w:r>
        <w:t>convertir N/A en neutral o ND en cero;</w:t>
      </w:r>
    </w:p>
    <w:p>
      <w:pPr>
        <w:pStyle w:val="ListBullet"/>
      </w:pPr>
      <w:r>
        <w:t>imputar una perspectiva ausente;</w:t>
      </w:r>
    </w:p>
    <w:p>
      <w:pPr>
        <w:pStyle w:val="ListBullet"/>
      </w:pPr>
      <w:r>
        <w:t>eliminar respuestas por ser desfavorables;</w:t>
      </w:r>
    </w:p>
    <w:p>
      <w:pPr>
        <w:pStyle w:val="ListBullet"/>
      </w:pPr>
      <w:r>
        <w:t>seleccionar deliberadamente participantes favorables;</w:t>
      </w:r>
    </w:p>
    <w:p>
      <w:pPr>
        <w:pStyle w:val="ListBullet"/>
      </w:pPr>
      <w:r>
        <w:t>presentar segmentos identificables;</w:t>
      </w:r>
    </w:p>
    <w:p>
      <w:pPr>
        <w:pStyle w:val="ListBullet"/>
      </w:pPr>
      <w:r>
        <w:t>ocultar incidencias metodológicas;</w:t>
      </w:r>
    </w:p>
    <w:p>
      <w:pPr>
        <w:pStyle w:val="ListBullet"/>
      </w:pPr>
      <w:r>
        <w:t>usar presión jerárquica para elevar participación;</w:t>
      </w:r>
    </w:p>
    <w:p>
      <w:pPr>
        <w:pStyle w:val="ListBullet"/>
      </w:pPr>
      <w:r>
        <w:t>cambiar retrospectivamente el alcance para mejorar resultados;</w:t>
      </w:r>
    </w:p>
    <w:p>
      <w:pPr>
        <w:pStyle w:val="ListBullet"/>
      </w:pPr>
      <w:r>
        <w:t>declarar representatividad únicamente por alcanzar un porcentaje de respuesta.</w:t>
      </w:r>
    </w:p>
    <w:p>
      <w:pPr>
        <w:pStyle w:val="Heading2"/>
      </w:pPr>
      <w:r>
        <w:t>18.2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EF4F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Toda aplicación deberá poder reconstruirse mediante la cadena: Instrumento → Reactivo → Elemento → Perspectiva → Regla de procesamiento → Resultado.</w:t>
            </w:r>
          </w:p>
        </w:tc>
      </w:tr>
    </w:tbl>
    <w:p/>
    <w:p>
      <w:pPr>
        <w:pStyle w:val="Heading2"/>
      </w:pPr>
      <w:r>
        <w:t>18.3 Control de versiones</w:t>
      </w:r>
    </w:p>
    <w:p>
      <w:r>
        <w:t>Toda aplicación deberá registrar la versión del instrumento, Banco Maestro, Modelo Matemático, Protocolo de Aplicación, Protocolo de Triangulación y fecha de levantamiento.</w:t>
      </w:r>
    </w:p>
    <w:p>
      <w:r>
        <w:br w:type="page"/>
      </w:r>
    </w:p>
    <w:p>
      <w:pPr>
        <w:pStyle w:val="Heading1"/>
      </w:pPr>
      <w:r>
        <w:t>ANEXO A — Ficha de Alcance de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Organización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Objetivo del diagnóstico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Unidad / sedes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Periodo diagnóstico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aplicables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no aplicables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no disponibles previstas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Segmentos relevantes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Exclusiones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Modalidad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Ventana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Sponsor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Consultor IEO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Coordinador interno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Responsable técnico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ANEXO B — Plan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Perspectiva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Población estimada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Invitados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Respuestas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Cobertura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Distribución / segmentos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Dirección</w:t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Especialistas</w:t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Liderazgo</w:t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Colaboradores</w:t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Voz del Cliente</w:t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ANEXO C — Registro Oficial de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Perspectiva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Incidencia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Acción tomada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43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43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ANEXO D — Checklist Oficial de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Sí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N/A</w:t>
            </w:r>
          </w:p>
        </w:tc>
        <w:tc>
          <w:tcPr>
            <w:tcW w:type="dxa" w:w="1675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El alcance fue definido antes del levantamiento.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2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Las perspectivas fueron clasificadas como aplicables, no aplicables o no disponibles.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3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Las poblaciones fueron validadas.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4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utilizó la versión oficial de cada instrumento.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5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realizó la prueba técnica.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6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Los participantes recibieron información suficiente.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7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 participación fue voluntaria.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8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protegió la confidencialidad.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9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N/A funcionó conforme al modelo.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10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Las incidencias fueron documentadas.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11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revisó la distribución de participación.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12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protegieron segmentos potencialmente identificables.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13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Las respuestas inválidas fueron tratadas mediante reglas documentadas.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14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determinó la calidad por perspectiva.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15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 elaboró el Acta de Cierre.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/>
                <w:sz w:val="15"/>
              </w:rPr>
              <w:t>16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Los datos están listos para transferirse al Modelo Matemático.</w:t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1675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ANEXO E — Acta Oficial de Cierre del Levantamiento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26"/>
            <w:shd w:fill="4472C4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Organización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Alcance final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Instrumentos / versiones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Fecha apertura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Fecha cierre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Poblaciones invitadas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Participación obtenida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válidas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con reservas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Perspectivas insuficientes / NP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Incidencias relevantes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Exclusiones documentadas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Dictamen global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Reservas metodológicas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Consultor responsable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Fecha de autorización para procesamiento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/>
    <w:p>
      <w:pPr>
        <w:jc w:val="center"/>
      </w:pPr>
      <w:r>
        <w:rPr>
          <w:b/>
          <w:color w:val="1F4E79"/>
        </w:rPr>
        <w:t>Modelo Los 8 Elementos del Éxito® · Índice de Erosión Organizacional®</w:t>
      </w:r>
    </w:p>
    <w:p>
      <w:pPr>
        <w:jc w:val="center"/>
      </w:pPr>
      <w:r>
        <w:rPr>
          <w:sz w:val="18"/>
        </w:rPr>
        <w:t>Autor del modelo: Pedro Eloy Rodríguez Garza</w:t>
        <w:br/>
        <w:t>Desarrollo metodológico e instruccional: Mate Consulting Group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IEO® · Versión 1.0 · Compatible con Sistema IEO®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4E79"/>
        <w:sz w:val="16"/>
      </w:rPr>
      <w:t>IEO® · PROTOCOLO OFICIAL DE APLICACIÓN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