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2"/>
        </w:rPr>
        <w:t>ÍNDICE DE EROSIÓN</w:t>
        <w:br/>
        <w:t>ORGANIZACIONAL®</w:t>
      </w:r>
    </w:p>
    <w:p>
      <w:pPr>
        <w:jc w:val="center"/>
      </w:pPr>
      <w:r>
        <w:rPr>
          <w:rFonts w:ascii="Aptos Display" w:hAnsi="Aptos Display"/>
          <w:b/>
          <w:color w:val="444444"/>
          <w:sz w:val="42"/>
        </w:rPr>
        <w:br/>
        <w:t>MODELO MATEMÁTICO OFICIAL</w:t>
      </w:r>
    </w:p>
    <w:p>
      <w:pPr>
        <w:jc w:val="center"/>
      </w:pPr>
      <w:r>
        <w:rPr>
          <w:sz w:val="25"/>
        </w:rPr>
        <w:br/>
        <w:t>Versión 1.1</w:t>
        <w:br/>
        <w:t>Sistema Oficial de Calificación, Integración y Salud Organizacional</w:t>
        <w:br/>
        <w:t>Modelo Los 8 Elementos del Éxito®</w:t>
        <w:br/>
        <w:t>Pedro Eloy Rodríguez Garza</w:t>
      </w:r>
    </w:p>
    <w:p>
      <w:r>
        <w:br/>
      </w:r>
    </w:p>
    <w:p>
      <w:pPr>
        <w:jc w:val="center"/>
      </w:pPr>
      <w:r>
        <w:rPr>
          <w:b/>
        </w:rPr>
        <w:t>Actualización metodológica para la arquitectura multifuente del IEO</w:t>
      </w:r>
    </w:p>
    <w:p>
      <w:r>
        <w:br w:type="page"/>
      </w:r>
    </w:p>
    <w:p>
      <w:pPr>
        <w:pStyle w:val="Heading1"/>
      </w:pPr>
      <w:r>
        <w:t>Control de versión</w:t>
      </w:r>
    </w:p>
    <w:tbl>
      <w:tblPr>
        <w:tblStyle w:val="TableGrid"/>
        <w:tblW w:type="auto" w:w="0"/>
        <w:jc w:val="center"/>
        <w:tblLook w:firstColumn="1" w:firstRow="1" w:lastColumn="0" w:lastRow="0" w:noHBand="0" w:noVBand="1" w:val="04A0"/>
      </w:tblPr>
      <w:tblGrid>
        <w:gridCol w:w="4997"/>
        <w:gridCol w:w="4997"/>
      </w:tblGrid>
      <w:tr>
        <w:tc>
          <w:tcPr>
            <w:tcW w:type="dxa" w:w="4997"/>
            <w:shd w:fill="D9EAF7"/>
          </w:tcPr>
          <w:p>
            <w:r>
              <w:rPr>
                <w:b/>
              </w:rPr>
              <w:t>Campo</w:t>
            </w:r>
          </w:p>
        </w:tc>
        <w:tc>
          <w:tcPr>
            <w:tcW w:type="dxa" w:w="4997"/>
            <w:shd w:fill="D9EAF7"/>
          </w:tcPr>
          <w:p>
            <w:r>
              <w:rPr>
                <w:b/>
              </w:rPr>
              <w:t>Definición</w:t>
            </w:r>
          </w:p>
        </w:tc>
      </w:tr>
      <w:tr>
        <w:tc>
          <w:tcPr>
            <w:tcW w:type="dxa" w:w="4997"/>
            <w:vAlign w:val="center"/>
          </w:tcPr>
          <w:p>
            <w:r>
              <w:t>Documento</w:t>
            </w:r>
          </w:p>
        </w:tc>
        <w:tc>
          <w:tcPr>
            <w:tcW w:type="dxa" w:w="4997"/>
            <w:vAlign w:val="center"/>
          </w:tcPr>
          <w:p>
            <w:r>
              <w:t>Modelo Matemático Oficial IEO®</w:t>
            </w:r>
          </w:p>
        </w:tc>
      </w:tr>
      <w:tr>
        <w:tc>
          <w:tcPr>
            <w:tcW w:type="dxa" w:w="4997"/>
            <w:vAlign w:val="center"/>
          </w:tcPr>
          <w:p>
            <w:r>
              <w:t>Versión</w:t>
            </w:r>
          </w:p>
        </w:tc>
        <w:tc>
          <w:tcPr>
            <w:tcW w:type="dxa" w:w="4997"/>
            <w:vAlign w:val="center"/>
          </w:tcPr>
          <w:p>
            <w:r>
              <w:t>1.1</w:t>
            </w:r>
          </w:p>
        </w:tc>
      </w:tr>
      <w:tr>
        <w:tc>
          <w:tcPr>
            <w:tcW w:type="dxa" w:w="4997"/>
            <w:vAlign w:val="center"/>
          </w:tcPr>
          <w:p>
            <w:r>
              <w:t>Base documental</w:t>
            </w:r>
          </w:p>
        </w:tc>
        <w:tc>
          <w:tcPr>
            <w:tcW w:type="dxa" w:w="4997"/>
            <w:vAlign w:val="center"/>
          </w:tcPr>
          <w:p>
            <w:r>
              <w:t>Modelo Matemático Oficial previo</w:t>
            </w:r>
          </w:p>
        </w:tc>
      </w:tr>
      <w:tr>
        <w:tc>
          <w:tcPr>
            <w:tcW w:type="dxa" w:w="4997"/>
            <w:vAlign w:val="center"/>
          </w:tcPr>
          <w:p>
            <w:r>
              <w:t>Propósito de la actualización</w:t>
            </w:r>
          </w:p>
        </w:tc>
        <w:tc>
          <w:tcPr>
            <w:tcW w:type="dxa" w:w="4997"/>
            <w:vAlign w:val="center"/>
          </w:tcPr>
          <w:p>
            <w:r>
              <w:t>Integrar las cinco perspectivas oficiales, normalizar reglas de N/A e inversos, actualizar cobertura mínima y alinear la triangulación a la escala 0–100.</w:t>
            </w:r>
          </w:p>
        </w:tc>
      </w:tr>
      <w:tr>
        <w:tc>
          <w:tcPr>
            <w:tcW w:type="dxa" w:w="4997"/>
            <w:vAlign w:val="center"/>
          </w:tcPr>
          <w:p>
            <w:r>
              <w:t>Principio rector</w:t>
            </w:r>
          </w:p>
        </w:tc>
        <w:tc>
          <w:tcPr>
            <w:tcW w:type="dxa" w:w="4997"/>
            <w:vAlign w:val="center"/>
          </w:tcPr>
          <w:p>
            <w:r>
              <w:t>Conservar la matemática original siempre que sea compatible con la arquitectura multifuente actual.</w:t>
            </w:r>
          </w:p>
        </w:tc>
      </w:tr>
      <w:tr>
        <w:tc>
          <w:tcPr>
            <w:tcW w:type="dxa" w:w="4997"/>
            <w:vAlign w:val="center"/>
          </w:tcPr>
          <w:p>
            <w:r>
              <w:t>Estado</w:t>
            </w:r>
          </w:p>
        </w:tc>
        <w:tc>
          <w:tcPr>
            <w:tcW w:type="dxa" w:w="4997"/>
            <w:vAlign w:val="center"/>
          </w:tcPr>
          <w:p>
            <w:r>
              <w:t>Referencia matemática oficial para IEO 1.0 y pilotaje.</w:t>
            </w:r>
          </w:p>
        </w:tc>
      </w:tr>
    </w:tbl>
    <w:p/>
    <w:p>
      <w:r>
        <w:t>Cambios principales respecto del modelo previo: cobertura mínima de 80 % a 60 %; variables pasan de capa obligatoria a subdimensión analítica opcional; incorporación de resultados por perspectiva, Resultado Integrado por Elemento, Índice Global multifuente y BT en escala 0–100.</w:t>
      </w:r>
    </w:p>
    <w:p>
      <w:r>
        <w:br w:type="page"/>
      </w:r>
    </w:p>
    <w:p>
      <w:pPr>
        <w:pStyle w:val="Heading1"/>
      </w:pPr>
      <w:r>
        <w:t>1. Objetivo del Sistema Oficial de Calificación</w:t>
      </w:r>
    </w:p>
    <w:p>
      <w:r>
        <w:t>El Sistema Oficial de Calificación del Índice de Erosión Organizacional® (IEO) transforma las respuestas obtenidas mediante sus diferentes instrumentos en indicadores cuantitativos que reflejan el nivel de salud de cada uno de los ocho Elementos y de la organización en su conjunto.</w:t>
      </w:r>
    </w:p>
    <w:p>
      <w:r>
        <w:t>El modelo conserva cinco criterios fundamentales:</w:t>
      </w:r>
    </w:p>
    <w:p>
      <w:pPr>
        <w:pStyle w:val="ListBullet"/>
      </w:pPr>
      <w:r>
        <w:t>Objetividad.</w:t>
      </w:r>
    </w:p>
    <w:p>
      <w:pPr>
        <w:pStyle w:val="ListBullet"/>
      </w:pPr>
      <w:r>
        <w:t>Transparencia.</w:t>
      </w:r>
    </w:p>
    <w:p>
      <w:pPr>
        <w:pStyle w:val="ListBullet"/>
      </w:pPr>
      <w:r>
        <w:t>Trazabilidad.</w:t>
      </w:r>
    </w:p>
    <w:p>
      <w:pPr>
        <w:pStyle w:val="ListBullet"/>
      </w:pPr>
      <w:r>
        <w:t>Comparabilidad.</w:t>
      </w:r>
    </w:p>
    <w:p>
      <w:pPr>
        <w:pStyle w:val="ListBullet"/>
      </w:pPr>
      <w:r>
        <w:t>Facilidad de interpretación.</w:t>
      </w:r>
    </w:p>
    <w:p>
      <w:pPr>
        <w:ind w:left="504"/>
      </w:pPr>
      <w:r>
        <w:rPr>
          <w:b/>
          <w:i/>
          <w:color w:val="444444"/>
        </w:rPr>
        <w:t>Cada resultado debe poder explicarse desde el Índice Global hasta la evidencia que lo originó.</w:t>
      </w:r>
    </w:p>
    <w:p>
      <w:r>
        <w:t>La Versión 1.1 amplía el modelo original para integrar cinco perspectivas diagnósticas: Dirección, Especialistas, Liderazgo, Colaboradores y Voz del Cliente.</w:t>
      </w:r>
    </w:p>
    <w:p>
      <w:pPr>
        <w:pStyle w:val="Heading1"/>
      </w:pPr>
      <w:r>
        <w:t>2. Arquitectura matemática del IEO 1.1</w:t>
      </w:r>
    </w:p>
    <w:p>
      <w:pPr>
        <w:ind w:left="504"/>
      </w:pPr>
      <w:r>
        <w:rPr>
          <w:b/>
          <w:i/>
          <w:color w:val="444444"/>
        </w:rPr>
        <w:t>RESPUESTAS 1–5 → VALIDACIÓN Y RECODIFICACIÓN → ESCALA 0–100 → ELEMENTO INDIVIDUAL → ELEMENTO POR PERSPECTIVA → TRIANGULACIÓN + BT → ELEMENTO INTEGRADO → ÍNDICE GLOBAL IEO → NIVEL DE SALUD + SEMÁFORO</w:t>
      </w:r>
    </w:p>
    <w:p>
      <w:r>
        <w:t>Las variables o subdimensiones podrán utilizarse para análisis complementarios cuando exista un mapeo definido, pero no constituyen una capa obligatoria para calcular el resultado oficial de un Elemento.</w:t>
      </w:r>
    </w:p>
    <w:p>
      <w:pPr>
        <w:pStyle w:val="Heading2"/>
      </w:pPr>
      <w:r>
        <w:t>2.1 Las cinco perspectivas oficiales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b/>
              </w:rPr>
              <w:t>Código</w:t>
            </w:r>
          </w:p>
        </w:tc>
        <w:tc>
          <w:tcPr>
            <w:tcW w:type="dxa" w:w="3331"/>
            <w:shd w:fill="D9EAF7"/>
          </w:tcPr>
          <w:p>
            <w:r>
              <w:rPr>
                <w:b/>
              </w:rPr>
              <w:t>Perspectiva</w:t>
            </w:r>
          </w:p>
        </w:tc>
        <w:tc>
          <w:tcPr>
            <w:tcW w:type="dxa" w:w="3331"/>
            <w:shd w:fill="D9EAF7"/>
          </w:tcPr>
          <w:p>
            <w:r>
              <w:rPr>
                <w:b/>
              </w:rPr>
              <w:t>Observa principalmente</w:t>
            </w:r>
          </w:p>
        </w:tc>
      </w:tr>
      <w:tr>
        <w:tc>
          <w:tcPr>
            <w:tcW w:type="dxa" w:w="3331"/>
            <w:vAlign w:val="center"/>
          </w:tcPr>
          <w:p>
            <w:r>
              <w:t>DIR</w:t>
            </w:r>
          </w:p>
        </w:tc>
        <w:tc>
          <w:tcPr>
            <w:tcW w:type="dxa" w:w="3331"/>
            <w:vAlign w:val="center"/>
          </w:tcPr>
          <w:p>
            <w:r>
              <w:t>Dirección</w:t>
            </w:r>
          </w:p>
        </w:tc>
        <w:tc>
          <w:tcPr>
            <w:tcW w:type="dxa" w:w="3331"/>
            <w:vAlign w:val="center"/>
          </w:tcPr>
          <w:p>
            <w:r>
              <w:t>Intención y conducción estratégica</w:t>
            </w:r>
          </w:p>
        </w:tc>
      </w:tr>
      <w:tr>
        <w:tc>
          <w:tcPr>
            <w:tcW w:type="dxa" w:w="3331"/>
            <w:vAlign w:val="center"/>
          </w:tcPr>
          <w:p>
            <w:r>
              <w:t>ESP</w:t>
            </w:r>
          </w:p>
        </w:tc>
        <w:tc>
          <w:tcPr>
            <w:tcW w:type="dxa" w:w="3331"/>
            <w:vAlign w:val="center"/>
          </w:tcPr>
          <w:p>
            <w:r>
              <w:t>Especialistas</w:t>
            </w:r>
          </w:p>
        </w:tc>
        <w:tc>
          <w:tcPr>
            <w:tcW w:type="dxa" w:w="3331"/>
            <w:vAlign w:val="center"/>
          </w:tcPr>
          <w:p>
            <w:r>
              <w:t>Institucionalización mediante procesos, datos, mecanismos y prácticas</w:t>
            </w:r>
          </w:p>
        </w:tc>
      </w:tr>
      <w:tr>
        <w:tc>
          <w:tcPr>
            <w:tcW w:type="dxa" w:w="3331"/>
            <w:vAlign w:val="center"/>
          </w:tcPr>
          <w:p>
            <w:r>
              <w:t>LID</w:t>
            </w:r>
          </w:p>
        </w:tc>
        <w:tc>
          <w:tcPr>
            <w:tcW w:type="dxa" w:w="3331"/>
            <w:vAlign w:val="center"/>
          </w:tcPr>
          <w:p>
            <w:r>
              <w:t>Liderazgo</w:t>
            </w:r>
          </w:p>
        </w:tc>
        <w:tc>
          <w:tcPr>
            <w:tcW w:type="dxa" w:w="3331"/>
            <w:vAlign w:val="center"/>
          </w:tcPr>
          <w:p>
            <w:r>
              <w:t>Traducción de la estrategia y ejecución con equipos</w:t>
            </w:r>
          </w:p>
        </w:tc>
      </w:tr>
      <w:tr>
        <w:tc>
          <w:tcPr>
            <w:tcW w:type="dxa" w:w="3331"/>
            <w:vAlign w:val="center"/>
          </w:tcPr>
          <w:p>
            <w:r>
              <w:t>COL</w:t>
            </w:r>
          </w:p>
        </w:tc>
        <w:tc>
          <w:tcPr>
            <w:tcW w:type="dxa" w:w="3331"/>
            <w:vAlign w:val="center"/>
          </w:tcPr>
          <w:p>
            <w:r>
              <w:t>Colaboradores</w:t>
            </w:r>
          </w:p>
        </w:tc>
        <w:tc>
          <w:tcPr>
            <w:tcW w:type="dxa" w:w="3331"/>
            <w:vAlign w:val="center"/>
          </w:tcPr>
          <w:p>
            <w:r>
              <w:t>Experiencia cotidiana de la organización</w:t>
            </w:r>
          </w:p>
        </w:tc>
      </w:tr>
      <w:tr>
        <w:tc>
          <w:tcPr>
            <w:tcW w:type="dxa" w:w="3331"/>
            <w:vAlign w:val="center"/>
          </w:tcPr>
          <w:p>
            <w:r>
              <w:t>CLI</w:t>
            </w:r>
          </w:p>
        </w:tc>
        <w:tc>
          <w:tcPr>
            <w:tcW w:type="dxa" w:w="3331"/>
            <w:vAlign w:val="center"/>
          </w:tcPr>
          <w:p>
            <w:r>
              <w:t>Voz del Cliente</w:t>
            </w:r>
          </w:p>
        </w:tc>
        <w:tc>
          <w:tcPr>
            <w:tcW w:type="dxa" w:w="3331"/>
            <w:vAlign w:val="center"/>
          </w:tcPr>
          <w:p>
            <w:r>
              <w:t>Experiencia y percepción externa</w:t>
            </w:r>
          </w:p>
        </w:tc>
      </w:tr>
    </w:tbl>
    <w:p/>
    <w:p>
      <w:r>
        <w:t>La unidad común de integración entre perspectivas es el Elemento. No se exige correspondencia uno a uno entre reactivos de diferentes instrumentos.</w:t>
      </w:r>
    </w:p>
    <w:p>
      <w:pPr>
        <w:pStyle w:val="Heading1"/>
      </w:pPr>
      <w:r>
        <w:t>3. Conversión Oficial de la Escala Likert</w:t>
      </w:r>
    </w:p>
    <w:p>
      <w:r>
        <w:t>Los instrumentos utilizan una escala Likert de cinco niveles. Para cálculo, interpretación ejecutiva y reporte, todas las respuestas válidas se convierten a una escala IEO de 0 a 100.</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b/>
              </w:rPr>
              <w:t>Respuesta</w:t>
            </w:r>
          </w:p>
        </w:tc>
        <w:tc>
          <w:tcPr>
            <w:tcW w:type="dxa" w:w="3331"/>
            <w:shd w:fill="D9EAF7"/>
          </w:tcPr>
          <w:p>
            <w:r>
              <w:rPr>
                <w:b/>
              </w:rPr>
              <w:t>Likert</w:t>
            </w:r>
          </w:p>
        </w:tc>
        <w:tc>
          <w:tcPr>
            <w:tcW w:type="dxa" w:w="3331"/>
            <w:shd w:fill="D9EAF7"/>
          </w:tcPr>
          <w:p>
            <w:r>
              <w:rPr>
                <w:b/>
              </w:rPr>
              <w:t>Valor IEO</w:t>
            </w:r>
          </w:p>
        </w:tc>
      </w:tr>
      <w:tr>
        <w:tc>
          <w:tcPr>
            <w:tcW w:type="dxa" w:w="3331"/>
            <w:vAlign w:val="center"/>
          </w:tcPr>
          <w:p>
            <w:r>
              <w:t>Totalmente en desacuerdo</w:t>
            </w:r>
          </w:p>
        </w:tc>
        <w:tc>
          <w:tcPr>
            <w:tcW w:type="dxa" w:w="3331"/>
            <w:vAlign w:val="center"/>
          </w:tcPr>
          <w:p>
            <w:r>
              <w:t>1</w:t>
            </w:r>
          </w:p>
        </w:tc>
        <w:tc>
          <w:tcPr>
            <w:tcW w:type="dxa" w:w="3331"/>
            <w:vAlign w:val="center"/>
          </w:tcPr>
          <w:p>
            <w:r>
              <w:t>0</w:t>
            </w:r>
          </w:p>
        </w:tc>
      </w:tr>
      <w:tr>
        <w:tc>
          <w:tcPr>
            <w:tcW w:type="dxa" w:w="3331"/>
            <w:vAlign w:val="center"/>
          </w:tcPr>
          <w:p>
            <w:r>
              <w:t>En desacuerdo</w:t>
            </w:r>
          </w:p>
        </w:tc>
        <w:tc>
          <w:tcPr>
            <w:tcW w:type="dxa" w:w="3331"/>
            <w:vAlign w:val="center"/>
          </w:tcPr>
          <w:p>
            <w:r>
              <w:t>2</w:t>
            </w:r>
          </w:p>
        </w:tc>
        <w:tc>
          <w:tcPr>
            <w:tcW w:type="dxa" w:w="3331"/>
            <w:vAlign w:val="center"/>
          </w:tcPr>
          <w:p>
            <w:r>
              <w:t>25</w:t>
            </w:r>
          </w:p>
        </w:tc>
      </w:tr>
      <w:tr>
        <w:tc>
          <w:tcPr>
            <w:tcW w:type="dxa" w:w="3331"/>
            <w:vAlign w:val="center"/>
          </w:tcPr>
          <w:p>
            <w:r>
              <w:t>Ni de acuerdo ni en desacuerdo</w:t>
            </w:r>
          </w:p>
        </w:tc>
        <w:tc>
          <w:tcPr>
            <w:tcW w:type="dxa" w:w="3331"/>
            <w:vAlign w:val="center"/>
          </w:tcPr>
          <w:p>
            <w:r>
              <w:t>3</w:t>
            </w:r>
          </w:p>
        </w:tc>
        <w:tc>
          <w:tcPr>
            <w:tcW w:type="dxa" w:w="3331"/>
            <w:vAlign w:val="center"/>
          </w:tcPr>
          <w:p>
            <w:r>
              <w:t>50</w:t>
            </w:r>
          </w:p>
        </w:tc>
      </w:tr>
      <w:tr>
        <w:tc>
          <w:tcPr>
            <w:tcW w:type="dxa" w:w="3331"/>
            <w:vAlign w:val="center"/>
          </w:tcPr>
          <w:p>
            <w:r>
              <w:t>De acuerdo</w:t>
            </w:r>
          </w:p>
        </w:tc>
        <w:tc>
          <w:tcPr>
            <w:tcW w:type="dxa" w:w="3331"/>
            <w:vAlign w:val="center"/>
          </w:tcPr>
          <w:p>
            <w:r>
              <w:t>4</w:t>
            </w:r>
          </w:p>
        </w:tc>
        <w:tc>
          <w:tcPr>
            <w:tcW w:type="dxa" w:w="3331"/>
            <w:vAlign w:val="center"/>
          </w:tcPr>
          <w:p>
            <w:r>
              <w:t>75</w:t>
            </w:r>
          </w:p>
        </w:tc>
      </w:tr>
      <w:tr>
        <w:tc>
          <w:tcPr>
            <w:tcW w:type="dxa" w:w="3331"/>
            <w:vAlign w:val="center"/>
          </w:tcPr>
          <w:p>
            <w:r>
              <w:t>Totalmente de acuerdo</w:t>
            </w:r>
          </w:p>
        </w:tc>
        <w:tc>
          <w:tcPr>
            <w:tcW w:type="dxa" w:w="3331"/>
            <w:vAlign w:val="center"/>
          </w:tcPr>
          <w:p>
            <w:r>
              <w:t>5</w:t>
            </w:r>
          </w:p>
        </w:tc>
        <w:tc>
          <w:tcPr>
            <w:tcW w:type="dxa" w:w="3331"/>
            <w:vAlign w:val="center"/>
          </w:tcPr>
          <w:p>
            <w:r>
              <w:t>100</w:t>
            </w:r>
          </w:p>
        </w:tc>
      </w:tr>
    </w:tbl>
    <w:p/>
    <w:p>
      <w:pPr>
        <w:ind w:left="504"/>
      </w:pPr>
      <w:r>
        <w:rPr>
          <w:b/>
          <w:i/>
          <w:color w:val="444444"/>
        </w:rPr>
        <w:t>X_IEO = 25 × (L − 1)</w:t>
      </w:r>
    </w:p>
    <w:p>
      <w:r>
        <w:t>La escala 1–5 pertenece a la experiencia de respuesta. La escala 0–100 es la escala oficial de cálculo y reporte.</w:t>
      </w:r>
    </w:p>
    <w:p>
      <w:pPr>
        <w:pStyle w:val="Heading1"/>
      </w:pPr>
      <w:r>
        <w:t>4. Tratamiento de reactivos inversos</w:t>
      </w:r>
    </w:p>
    <w:p>
      <w:r>
        <w:t>Los ocho reactivos de control inverso del IEO Colaboradores se recodifican antes del cálculo. Ningún otro instrumento oficial utiliza actualmente reactivos inversos.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b/>
              </w:rPr>
              <w:t>Respuesta original</w:t>
            </w:r>
          </w:p>
        </w:tc>
        <w:tc>
          <w:tcPr>
            <w:tcW w:type="dxa" w:w="3331"/>
            <w:shd w:fill="D9EAF7"/>
          </w:tcPr>
          <w:p>
            <w:r>
              <w:rPr>
                <w:b/>
              </w:rPr>
              <w:t>Valor Likert recodificado</w:t>
            </w:r>
          </w:p>
        </w:tc>
        <w:tc>
          <w:tcPr>
            <w:tcW w:type="dxa" w:w="3331"/>
            <w:shd w:fill="D9EAF7"/>
          </w:tcPr>
          <w:p>
            <w:r>
              <w:rPr>
                <w:b/>
              </w:rPr>
              <w:t>Valor IEO</w:t>
            </w:r>
          </w:p>
        </w:tc>
      </w:tr>
      <w:tr>
        <w:tc>
          <w:tcPr>
            <w:tcW w:type="dxa" w:w="3331"/>
            <w:vAlign w:val="center"/>
          </w:tcPr>
          <w:p>
            <w:r>
              <w:t>1</w:t>
            </w:r>
          </w:p>
        </w:tc>
        <w:tc>
          <w:tcPr>
            <w:tcW w:type="dxa" w:w="3331"/>
            <w:vAlign w:val="center"/>
          </w:tcPr>
          <w:p>
            <w:r>
              <w:t>5</w:t>
            </w:r>
          </w:p>
        </w:tc>
        <w:tc>
          <w:tcPr>
            <w:tcW w:type="dxa" w:w="3331"/>
            <w:vAlign w:val="center"/>
          </w:tcPr>
          <w:p>
            <w:r>
              <w:t>100</w:t>
            </w:r>
          </w:p>
        </w:tc>
      </w:tr>
      <w:tr>
        <w:tc>
          <w:tcPr>
            <w:tcW w:type="dxa" w:w="3331"/>
            <w:vAlign w:val="center"/>
          </w:tcPr>
          <w:p>
            <w:r>
              <w:t>2</w:t>
            </w:r>
          </w:p>
        </w:tc>
        <w:tc>
          <w:tcPr>
            <w:tcW w:type="dxa" w:w="3331"/>
            <w:vAlign w:val="center"/>
          </w:tcPr>
          <w:p>
            <w:r>
              <w:t>4</w:t>
            </w:r>
          </w:p>
        </w:tc>
        <w:tc>
          <w:tcPr>
            <w:tcW w:type="dxa" w:w="3331"/>
            <w:vAlign w:val="center"/>
          </w:tcPr>
          <w:p>
            <w:r>
              <w:t>75</w:t>
            </w:r>
          </w:p>
        </w:tc>
      </w:tr>
      <w:tr>
        <w:tc>
          <w:tcPr>
            <w:tcW w:type="dxa" w:w="3331"/>
            <w:vAlign w:val="center"/>
          </w:tcPr>
          <w:p>
            <w:r>
              <w:t>3</w:t>
            </w:r>
          </w:p>
        </w:tc>
        <w:tc>
          <w:tcPr>
            <w:tcW w:type="dxa" w:w="3331"/>
            <w:vAlign w:val="center"/>
          </w:tcPr>
          <w:p>
            <w:r>
              <w:t>3</w:t>
            </w:r>
          </w:p>
        </w:tc>
        <w:tc>
          <w:tcPr>
            <w:tcW w:type="dxa" w:w="3331"/>
            <w:vAlign w:val="center"/>
          </w:tcPr>
          <w:p>
            <w:r>
              <w:t>50</w:t>
            </w:r>
          </w:p>
        </w:tc>
      </w:tr>
      <w:tr>
        <w:tc>
          <w:tcPr>
            <w:tcW w:type="dxa" w:w="3331"/>
            <w:vAlign w:val="center"/>
          </w:tcPr>
          <w:p>
            <w:r>
              <w:t>4</w:t>
            </w:r>
          </w:p>
        </w:tc>
        <w:tc>
          <w:tcPr>
            <w:tcW w:type="dxa" w:w="3331"/>
            <w:vAlign w:val="center"/>
          </w:tcPr>
          <w:p>
            <w:r>
              <w:t>2</w:t>
            </w:r>
          </w:p>
        </w:tc>
        <w:tc>
          <w:tcPr>
            <w:tcW w:type="dxa" w:w="3331"/>
            <w:vAlign w:val="center"/>
          </w:tcPr>
          <w:p>
            <w:r>
              <w:t>25</w:t>
            </w:r>
          </w:p>
        </w:tc>
      </w:tr>
      <w:tr>
        <w:tc>
          <w:tcPr>
            <w:tcW w:type="dxa" w:w="3331"/>
            <w:vAlign w:val="center"/>
          </w:tcPr>
          <w:p>
            <w:r>
              <w:t>5</w:t>
            </w:r>
          </w:p>
        </w:tc>
        <w:tc>
          <w:tcPr>
            <w:tcW w:type="dxa" w:w="3331"/>
            <w:vAlign w:val="center"/>
          </w:tcPr>
          <w:p>
            <w:r>
              <w:t>1</w:t>
            </w:r>
          </w:p>
        </w:tc>
        <w:tc>
          <w:tcPr>
            <w:tcW w:type="dxa" w:w="3331"/>
            <w:vAlign w:val="center"/>
          </w:tcPr>
          <w:p>
            <w:r>
              <w:t>0</w:t>
            </w:r>
          </w:p>
        </w:tc>
      </w:tr>
    </w:tbl>
    <w:p/>
    <w:p>
      <w:pPr>
        <w:ind w:left="504"/>
      </w:pPr>
      <w:r>
        <w:rPr>
          <w:b/>
          <w:i/>
          <w:color w:val="444444"/>
        </w:rPr>
        <w:t>L_inv = 6 − L</w:t>
      </w:r>
    </w:p>
    <w:p>
      <w:r>
        <w:t>Secuencia oficial: VALIDAR → RECODIFICAR INVERSOS → EXCLUIR N/A → CONVERTIR A 0–100 → CALCULAR.</w:t>
      </w:r>
    </w:p>
    <w:p>
      <w:pPr>
        <w:pStyle w:val="Heading1"/>
      </w:pPr>
      <w:r>
        <w:t>5. Tratamiento de N/A y evidencia insuficiente</w:t>
      </w:r>
    </w:p>
    <w:p>
      <w:r>
        <w:t>N/A no representa una evaluación positiva ni negativa y se excluye del denominador. Su definición oficial es:</w:t>
      </w:r>
    </w:p>
    <w:p>
      <w:pPr>
        <w:ind w:left="504"/>
      </w:pPr>
      <w:r>
        <w:rPr>
          <w:b/>
          <w:i/>
          <w:color w:val="444444"/>
        </w:rPr>
        <w:t>N/A — No aplica / No cuento con información o experiencia suficiente para responder.</w:t>
      </w:r>
    </w:p>
    <w:p>
      <w:r>
        <w:t>N/A está disponible en IEO Colaboradores, Liderazgo, Especialistas y Voz del Cliente. IEO Dirección utiliza exclusivamente la escala 1–5.</w:t>
      </w:r>
    </w:p>
    <w:p>
      <w:pPr>
        <w:pStyle w:val="Heading2"/>
      </w:pPr>
      <w:r>
        <w:t>5.1 Cobertura mínima oficial</w:t>
      </w:r>
    </w:p>
    <w:p>
      <w:r>
        <w:t>Para calcular la puntuación individual de un Elemento deberá existir respuesta válida en al menos 60 % de sus reactivos. Cuando no se alcance esta cobertura se registrará:</w:t>
      </w:r>
    </w:p>
    <w:p>
      <w:pPr>
        <w:ind w:left="504"/>
      </w:pPr>
      <w:r>
        <w:rPr>
          <w:b/>
          <w:i/>
          <w:color w:val="444444"/>
        </w:rPr>
        <w:t>ND — Evidencia insuficiente para diagnóstico.</w:t>
      </w:r>
    </w:p>
    <w:p>
      <w:r>
        <w:t>El 60 % constituye un criterio metodológico operativo de la Versión 1.1 sujeto a validación empírica durante el pilotaje. Sustituye el criterio de 80 % del modelo previo para adaptarse a la arquitectura multifuente y al uso legítimo de N/A.</w:t>
      </w:r>
    </w:p>
    <w:p>
      <w:pPr>
        <w:pStyle w:val="Heading1"/>
      </w:pPr>
      <w:r>
        <w:t>6. Cálculo de puntuación individual por Elemento</w:t>
      </w:r>
    </w:p>
    <w:p>
      <w:r>
        <w:t>Una vez aplicadas las reglas de validación, recodificación, exclusión de N/A y conversión a 0–100, la puntuación individual de un Elemento se obtiene mediante promedio aritmético simple:</w:t>
      </w:r>
    </w:p>
    <w:p>
      <w:pPr>
        <w:ind w:left="504"/>
      </w:pPr>
      <w:r>
        <w:rPr>
          <w:b/>
          <w:i/>
          <w:color w:val="444444"/>
        </w:rPr>
        <w:t>PIₑ = ΣX_IEO / Nᵥ</w:t>
      </w:r>
    </w:p>
    <w:p>
      <w:r>
        <w:t>PIₑ = puntuación individual del Elemento; X_IEO = valores válidos convertidos a 0–100; Nᵥ = número de respuestas válidas.</w:t>
      </w:r>
    </w:p>
    <w:p>
      <w:r>
        <w:t>Todos los reactivos válidos del Elemento tienen el mismo peso dentro del cálculo oficial.</w:t>
      </w:r>
    </w:p>
    <w:p>
      <w:pPr>
        <w:pStyle w:val="Heading1"/>
      </w:pPr>
      <w:r>
        <w:t>7. Variables o subdimensiones analíticas</w:t>
      </w:r>
    </w:p>
    <w:p>
      <w:r>
        <w:t>El modelo original calculaba cada Elemento como media de variables previamente definidas. En la Versión 1.1, las variables se conservan como subdimensiones analíticas opcionales para profundizar en causas, patrones o focos específicos.</w:t>
      </w:r>
    </w:p>
    <w:p>
      <w:r>
        <w:t>Cuando se utilicen, cada variable podrá calcularse mediante promedio simple de los reactivos que la conforman. Sin embargo, su cálculo no es requisito para producir la puntuación oficial del Elemento.</w:t>
      </w:r>
    </w:p>
    <w:p>
      <w:pPr>
        <w:ind w:left="504"/>
      </w:pPr>
      <w:r>
        <w:rPr>
          <w:b/>
          <w:i/>
          <w:color w:val="444444"/>
        </w:rPr>
        <w:t>Las variables enriquecen la explicación; no condicionan el cálculo principal.</w:t>
      </w:r>
    </w:p>
    <w:p>
      <w:pPr>
        <w:pStyle w:val="Heading1"/>
      </w:pPr>
      <w:r>
        <w:t>8. Resultado del Elemento por Perspectiva</w:t>
      </w:r>
    </w:p>
    <w:p>
      <w:r>
        <w:t>Para cada perspectiva, el resultado de un Elemento se obtiene promediando las puntuaciones individuales válidas de los participantes de esa perspectiva:</w:t>
      </w:r>
    </w:p>
    <w:p>
      <w:pPr>
        <w:ind w:left="504"/>
      </w:pPr>
      <w:r>
        <w:rPr>
          <w:b/>
          <w:i/>
          <w:color w:val="444444"/>
        </w:rPr>
        <w:t>RPₑ,ₚ = ΣPIₑ / Nₚ</w:t>
      </w:r>
    </w:p>
    <w:p>
      <w:r>
        <w:t>RPₑ,ₚ = resultado del Elemento e para la perspectiva p; Nₚ = participantes con resultado válido en ese Elemento.</w:t>
      </w:r>
    </w:p>
    <w:p>
      <w:r>
        <w:t>Esta regla evita que una persona con más respuestas válidas tenga automáticamente mayor peso que otra persona que también alcanzó la cobertura mínima.</w:t>
      </w:r>
    </w:p>
    <w:p>
      <w:pPr>
        <w:pStyle w:val="Heading1"/>
      </w:pPr>
      <w:r>
        <w:t>9. IEO por Perspectiva</w:t>
      </w:r>
    </w:p>
    <w:p>
      <w:r>
        <w:t>Cada perspectiva puede generar un Índice IEO propio cuando existan resultados válidos para los ocho Elementos:</w:t>
      </w:r>
    </w:p>
    <w:p>
      <w:pPr>
        <w:ind w:left="504"/>
      </w:pPr>
      <w:r>
        <w:rPr>
          <w:b/>
          <w:i/>
          <w:color w:val="444444"/>
        </w:rPr>
        <w:t>IEOₚ = (RP₁,ₚ + RP₂,ₚ + … + RP₈,ₚ) / 8</w:t>
      </w:r>
    </w:p>
    <w:p>
      <w:r>
        <w:t>Esto permite reportar, por ejemplo, IEO Dirección, IEO Liderazgo o IEO Colaboradores, sin confundirlos con el Índice Global Integrado.</w:t>
      </w:r>
    </w:p>
    <w:p>
      <w:r>
        <w:t>Si una perspectiva carece de evidencia suficiente en uno o más Elementos, el IEO de esa perspectiva deberá identificarse como parcial o no calcularse según el alcance del reporte; nunca se imputarán valores faltantes.</w:t>
      </w:r>
    </w:p>
    <w:p>
      <w:pPr>
        <w:pStyle w:val="Heading1"/>
      </w:pPr>
      <w:r>
        <w:t>10. Triangulación y Brecha de Triangulación</w:t>
      </w:r>
    </w:p>
    <w:p>
      <w:r>
        <w:t>La Brecha de Triangulación (BT) mide la distancia entre la perspectiva válida con puntuación más alta y la perspectiva válida con puntuación más baja dentro de un mismo Elemento.</w:t>
      </w:r>
    </w:p>
    <w:p>
      <w:pPr>
        <w:ind w:left="504"/>
      </w:pPr>
      <w:r>
        <w:rPr>
          <w:b/>
          <w:i/>
          <w:color w:val="444444"/>
        </w:rPr>
        <w:t>BTₑ = RP_máx − RP_mín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b/>
              </w:rPr>
              <w:t>BT en escala 0–100</w:t>
            </w:r>
          </w:p>
        </w:tc>
        <w:tc>
          <w:tcPr>
            <w:tcW w:type="dxa" w:w="3331"/>
            <w:shd w:fill="D9EAF7"/>
          </w:tcPr>
          <w:p>
            <w:r>
              <w:rPr>
                <w:b/>
              </w:rPr>
              <w:t>Clasificación</w:t>
            </w:r>
          </w:p>
        </w:tc>
        <w:tc>
          <w:tcPr>
            <w:tcW w:type="dxa" w:w="3331"/>
            <w:shd w:fill="D9EAF7"/>
          </w:tcPr>
          <w:p>
            <w:r>
              <w:rPr>
                <w:b/>
              </w:rPr>
              <w:t>Lectura</w:t>
            </w:r>
          </w:p>
        </w:tc>
      </w:tr>
      <w:tr>
        <w:tc>
          <w:tcPr>
            <w:tcW w:type="dxa" w:w="3331"/>
            <w:vAlign w:val="center"/>
          </w:tcPr>
          <w:p>
            <w:r>
              <w:t>0–12</w:t>
            </w:r>
          </w:p>
        </w:tc>
        <w:tc>
          <w:tcPr>
            <w:tcW w:type="dxa" w:w="3331"/>
            <w:vAlign w:val="center"/>
          </w:tcPr>
          <w:p>
            <w:r>
              <w:t>Alta convergencia</w:t>
            </w:r>
          </w:p>
        </w:tc>
        <w:tc>
          <w:tcPr>
            <w:tcW w:type="dxa" w:w="3331"/>
            <w:vAlign w:val="center"/>
          </w:tcPr>
          <w:p>
            <w:r>
              <w:t>Las perspectivas muestran una lectura semejante.</w:t>
            </w:r>
          </w:p>
        </w:tc>
      </w:tr>
      <w:tr>
        <w:tc>
          <w:tcPr>
            <w:tcW w:type="dxa" w:w="3331"/>
            <w:vAlign w:val="center"/>
          </w:tcPr>
          <w:p>
            <w:r>
              <w:t>13–24</w:t>
            </w:r>
          </w:p>
        </w:tc>
        <w:tc>
          <w:tcPr>
            <w:tcW w:type="dxa" w:w="3331"/>
            <w:vAlign w:val="center"/>
          </w:tcPr>
          <w:p>
            <w:r>
              <w:t>Diferencia moderada</w:t>
            </w:r>
          </w:p>
        </w:tc>
        <w:tc>
          <w:tcPr>
            <w:tcW w:type="dxa" w:w="3331"/>
            <w:vAlign w:val="center"/>
          </w:tcPr>
          <w:p>
            <w:r>
              <w:t>Existen variaciones que conviene observar.</w:t>
            </w:r>
          </w:p>
        </w:tc>
      </w:tr>
      <w:tr>
        <w:tc>
          <w:tcPr>
            <w:tcW w:type="dxa" w:w="3331"/>
            <w:vAlign w:val="center"/>
          </w:tcPr>
          <w:p>
            <w:r>
              <w:t>25–37</w:t>
            </w:r>
          </w:p>
        </w:tc>
        <w:tc>
          <w:tcPr>
            <w:tcW w:type="dxa" w:w="3331"/>
            <w:vAlign w:val="center"/>
          </w:tcPr>
          <w:p>
            <w:r>
              <w:t>Brecha relevante</w:t>
            </w:r>
          </w:p>
        </w:tc>
        <w:tc>
          <w:tcPr>
            <w:tcW w:type="dxa" w:w="3331"/>
            <w:vAlign w:val="center"/>
          </w:tcPr>
          <w:p>
            <w:r>
              <w:t>Existe una discrepancia diagnósticamente importante.</w:t>
            </w:r>
          </w:p>
        </w:tc>
      </w:tr>
      <w:tr>
        <w:tc>
          <w:tcPr>
            <w:tcW w:type="dxa" w:w="3331"/>
            <w:vAlign w:val="center"/>
          </w:tcPr>
          <w:p>
            <w:r>
              <w:t>38–100</w:t>
            </w:r>
          </w:p>
        </w:tc>
        <w:tc>
          <w:tcPr>
            <w:tcW w:type="dxa" w:w="3331"/>
            <w:vAlign w:val="center"/>
          </w:tcPr>
          <w:p>
            <w:r>
              <w:t>Brecha crítica</w:t>
            </w:r>
          </w:p>
        </w:tc>
        <w:tc>
          <w:tcPr>
            <w:tcW w:type="dxa" w:w="3331"/>
            <w:vAlign w:val="center"/>
          </w:tcPr>
          <w:p>
            <w:r>
              <w:t>Las perspectivas describen realidades sustancialmente diferentes.</w:t>
            </w:r>
          </w:p>
        </w:tc>
      </w:tr>
    </w:tbl>
    <w:p/>
    <w:p>
      <w:r>
        <w:t>Los umbrales de BT son criterios operativos V1.1 sujetos a calibración durante el pilotaje. La BT mide distancia entre perspectivas, no salud organizacional.</w:t>
      </w:r>
    </w:p>
    <w:p>
      <w:r>
        <w:t>Con dos perspectivas válidas puede calcularse una BT parcial. Con tres o más puede reportarse como BT integrada. No se calcula BT con una sola perspectiva.</w:t>
      </w:r>
    </w:p>
    <w:p>
      <w:pPr>
        <w:pStyle w:val="Heading1"/>
      </w:pPr>
      <w:r>
        <w:t>11. Resultado Integrado por Elemento</w:t>
      </w:r>
    </w:p>
    <w:p>
      <w:r>
        <w:t>Para el diagnóstico multifuente puede calcularse una puntuación descriptiva integrada de cada Elemento a partir de las perspectivas válidas:</w:t>
      </w:r>
    </w:p>
    <w:p>
      <w:pPr>
        <w:ind w:left="504"/>
      </w:pPr>
      <w:r>
        <w:rPr>
          <w:b/>
          <w:i/>
          <w:color w:val="444444"/>
        </w:rPr>
        <w:t>RIₑ = ΣRPₑ,ₚ / Pᵥ</w:t>
      </w:r>
    </w:p>
    <w:p>
      <w:r>
        <w:t>RIₑ = Resultado Integrado del Elemento; Pᵥ = número de perspectivas válidas.</w:t>
      </w:r>
    </w:p>
    <w:p>
      <w:r>
        <w:t>Cada perspectiva válida recibe el mismo peso conceptual. El RI no es un promedio de personas ni una estimación estadística de toda la organización.</w:t>
      </w:r>
    </w:p>
    <w:p>
      <w:pPr>
        <w:ind w:left="504"/>
      </w:pPr>
      <w:r>
        <w:rPr>
          <w:b/>
          <w:i/>
          <w:color w:val="444444"/>
        </w:rPr>
        <w:t>El RI no sustituye las puntuaciones por perspectiva, la BT ni el patrón de triangulación.</w:t>
      </w:r>
    </w:p>
    <w:p>
      <w:pPr>
        <w:pStyle w:val="Heading1"/>
      </w:pPr>
      <w:r>
        <w:t>12. Índice Global IEO</w:t>
      </w:r>
    </w:p>
    <w:p>
      <w:r>
        <w:t>El Índice Global IEO representa el nivel general de salud de la organización. Los ocho Elementos poseen la misma relevancia conceptual y, por tanto, el Índice Global se obtiene mediante promedio aritmético simple.</w:t>
      </w:r>
    </w:p>
    <w:p>
      <w:pPr>
        <w:ind w:left="504"/>
      </w:pPr>
      <w:r>
        <w:rPr>
          <w:b/>
          <w:i/>
          <w:color w:val="444444"/>
        </w:rPr>
        <w:t>IEO = (S₁ + S₂ + S₃ + S₄ + S₅ + S₆ + S₇ + S₈) / 8</w:t>
      </w:r>
    </w:p>
    <w:tbl>
      <w:tblPr>
        <w:tblStyle w:val="TableGrid"/>
        <w:tblW w:type="auto" w:w="0"/>
        <w:jc w:val="center"/>
        <w:tblLook w:firstColumn="1" w:firstRow="1" w:lastColumn="0" w:lastRow="0" w:noHBand="0" w:noVBand="1" w:val="04A0"/>
      </w:tblPr>
      <w:tblGrid>
        <w:gridCol w:w="4997"/>
        <w:gridCol w:w="4997"/>
      </w:tblGrid>
      <w:tr>
        <w:tc>
          <w:tcPr>
            <w:tcW w:type="dxa" w:w="4997"/>
            <w:shd w:fill="D9EAF7"/>
          </w:tcPr>
          <w:p>
            <w:r>
              <w:rPr>
                <w:b/>
              </w:rPr>
              <w:t>Símbolo</w:t>
            </w:r>
          </w:p>
        </w:tc>
        <w:tc>
          <w:tcPr>
            <w:tcW w:type="dxa" w:w="4997"/>
            <w:shd w:fill="D9EAF7"/>
          </w:tcPr>
          <w:p>
            <w:r>
              <w:rPr>
                <w:b/>
              </w:rPr>
              <w:t>Elemento</w:t>
            </w:r>
          </w:p>
        </w:tc>
      </w:tr>
      <w:tr>
        <w:tc>
          <w:tcPr>
            <w:tcW w:type="dxa" w:w="4997"/>
            <w:vAlign w:val="center"/>
          </w:tcPr>
          <w:p>
            <w:r>
              <w:t>S₁</w:t>
            </w:r>
          </w:p>
        </w:tc>
        <w:tc>
          <w:tcPr>
            <w:tcW w:type="dxa" w:w="4997"/>
            <w:vAlign w:val="center"/>
          </w:tcPr>
          <w:p>
            <w:r>
              <w:t>Valor Diferenciador</w:t>
            </w:r>
          </w:p>
        </w:tc>
      </w:tr>
      <w:tr>
        <w:tc>
          <w:tcPr>
            <w:tcW w:type="dxa" w:w="4997"/>
            <w:vAlign w:val="center"/>
          </w:tcPr>
          <w:p>
            <w:r>
              <w:t>S₂</w:t>
            </w:r>
          </w:p>
        </w:tc>
        <w:tc>
          <w:tcPr>
            <w:tcW w:type="dxa" w:w="4997"/>
            <w:vAlign w:val="center"/>
          </w:tcPr>
          <w:p>
            <w:r>
              <w:t>Ejecución y Resultados</w:t>
            </w:r>
          </w:p>
        </w:tc>
      </w:tr>
      <w:tr>
        <w:tc>
          <w:tcPr>
            <w:tcW w:type="dxa" w:w="4997"/>
            <w:vAlign w:val="center"/>
          </w:tcPr>
          <w:p>
            <w:r>
              <w:t>S₃</w:t>
            </w:r>
          </w:p>
        </w:tc>
        <w:tc>
          <w:tcPr>
            <w:tcW w:type="dxa" w:w="4997"/>
            <w:vAlign w:val="center"/>
          </w:tcPr>
          <w:p>
            <w:r>
              <w:t>Dirección y Propósito</w:t>
            </w:r>
          </w:p>
        </w:tc>
      </w:tr>
      <w:tr>
        <w:tc>
          <w:tcPr>
            <w:tcW w:type="dxa" w:w="4997"/>
            <w:vAlign w:val="center"/>
          </w:tcPr>
          <w:p>
            <w:r>
              <w:t>S₄</w:t>
            </w:r>
          </w:p>
        </w:tc>
        <w:tc>
          <w:tcPr>
            <w:tcW w:type="dxa" w:w="4997"/>
            <w:vAlign w:val="center"/>
          </w:tcPr>
          <w:p>
            <w:r>
              <w:t>Liderazgo e Inspiración</w:t>
            </w:r>
          </w:p>
        </w:tc>
      </w:tr>
      <w:tr>
        <w:tc>
          <w:tcPr>
            <w:tcW w:type="dxa" w:w="4997"/>
            <w:vAlign w:val="center"/>
          </w:tcPr>
          <w:p>
            <w:r>
              <w:t>S₅</w:t>
            </w:r>
          </w:p>
        </w:tc>
        <w:tc>
          <w:tcPr>
            <w:tcW w:type="dxa" w:w="4997"/>
            <w:vAlign w:val="center"/>
          </w:tcPr>
          <w:p>
            <w:r>
              <w:t>Pasión y Compromiso Humano</w:t>
            </w:r>
          </w:p>
        </w:tc>
      </w:tr>
      <w:tr>
        <w:tc>
          <w:tcPr>
            <w:tcW w:type="dxa" w:w="4997"/>
            <w:vAlign w:val="center"/>
          </w:tcPr>
          <w:p>
            <w:r>
              <w:t>S₆</w:t>
            </w:r>
          </w:p>
        </w:tc>
        <w:tc>
          <w:tcPr>
            <w:tcW w:type="dxa" w:w="4997"/>
            <w:vAlign w:val="center"/>
          </w:tcPr>
          <w:p>
            <w:r>
              <w:t>Credibilidad y Reputación</w:t>
            </w:r>
          </w:p>
        </w:tc>
      </w:tr>
      <w:tr>
        <w:tc>
          <w:tcPr>
            <w:tcW w:type="dxa" w:w="4997"/>
            <w:vAlign w:val="center"/>
          </w:tcPr>
          <w:p>
            <w:r>
              <w:t>S₇</w:t>
            </w:r>
          </w:p>
        </w:tc>
        <w:tc>
          <w:tcPr>
            <w:tcW w:type="dxa" w:w="4997"/>
            <w:vAlign w:val="center"/>
          </w:tcPr>
          <w:p>
            <w:r>
              <w:t>Sensibilidad hacia el Cliente</w:t>
            </w:r>
          </w:p>
        </w:tc>
      </w:tr>
      <w:tr>
        <w:tc>
          <w:tcPr>
            <w:tcW w:type="dxa" w:w="4997"/>
            <w:vAlign w:val="center"/>
          </w:tcPr>
          <w:p>
            <w:r>
              <w:t>S₈</w:t>
            </w:r>
          </w:p>
        </w:tc>
        <w:tc>
          <w:tcPr>
            <w:tcW w:type="dxa" w:w="4997"/>
            <w:vAlign w:val="center"/>
          </w:tcPr>
          <w:p>
            <w:r>
              <w:t>Innovación y Adaptación</w:t>
            </w:r>
          </w:p>
        </w:tc>
      </w:tr>
    </w:tbl>
    <w:p/>
    <w:p>
      <w:pPr>
        <w:pStyle w:val="Heading2"/>
      </w:pPr>
      <w:r>
        <w:t>12.1 Índice Global Integrado Multifuente</w:t>
      </w:r>
    </w:p>
    <w:p>
      <w:r>
        <w:t>Cuando se utilicen varias perspectivas, cada Sₑ corresponderá al Resultado Integrado RIₑ del Elemento:</w:t>
      </w:r>
    </w:p>
    <w:p>
      <w:pPr>
        <w:ind w:left="504"/>
      </w:pPr>
      <w:r>
        <w:rPr>
          <w:b/>
          <w:i/>
          <w:color w:val="444444"/>
        </w:rPr>
        <w:t>IEO_Global = (RI₁ + RI₂ + RI₃ + RI₄ + RI₅ + RI₆ + RI₇ + RI₈) / 8</w:t>
      </w:r>
    </w:p>
    <w:p>
      <w:r>
        <w:t>Para calcular el Índice Global Integrado deberán existir resultados integrados válidos para los ocho Elementos. No se imputarán Elementos faltantes.</w:t>
      </w:r>
    </w:p>
    <w:p>
      <w:pPr>
        <w:pStyle w:val="Heading1"/>
      </w:pPr>
      <w:r>
        <w:t>13. Redondeo y precisión</w:t>
      </w:r>
    </w:p>
    <w:p>
      <w:r>
        <w:t>Los cálculos internos podrán conservar decimales. Para reporte ejecutivo se recomienda:</w:t>
      </w:r>
    </w:p>
    <w:p>
      <w:pPr>
        <w:pStyle w:val="ListBullet"/>
      </w:pPr>
      <w:r>
        <w:t>Resultados por perspectiva y Elemento: hasta un decimal cuando aporte claridad.</w:t>
      </w:r>
    </w:p>
    <w:p>
      <w:pPr>
        <w:pStyle w:val="ListBullet"/>
      </w:pPr>
      <w:r>
        <w:t>BT: número entero en reportes ejecutivos; precisión decimal disponible en anexos técnicos.</w:t>
      </w:r>
    </w:p>
    <w:p>
      <w:pPr>
        <w:pStyle w:val="ListBullet"/>
      </w:pPr>
      <w:r>
        <w:t>Índice Global y Nivel de Salud: número entero más cercano.</w:t>
      </w:r>
    </w:p>
    <w:p>
      <w:r>
        <w:t>El redondeo se aplica al final del cálculo correspondiente y no a los valores intermedios.</w:t>
      </w:r>
    </w:p>
    <w:p>
      <w:pPr>
        <w:pStyle w:val="Heading1"/>
      </w:pPr>
      <w:r>
        <w:t>14. Escala Oficial de Salud Organizacional</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b/>
              </w:rPr>
              <w:t>Índice IEO</w:t>
            </w:r>
          </w:p>
        </w:tc>
        <w:tc>
          <w:tcPr>
            <w:tcW w:type="dxa" w:w="3331"/>
            <w:shd w:fill="D9EAF7"/>
          </w:tcPr>
          <w:p>
            <w:r>
              <w:rPr>
                <w:b/>
              </w:rPr>
              <w:t>Nivel</w:t>
            </w:r>
          </w:p>
        </w:tc>
        <w:tc>
          <w:tcPr>
            <w:tcW w:type="dxa" w:w="3331"/>
            <w:shd w:fill="D9EAF7"/>
          </w:tcPr>
          <w:p>
            <w:r>
              <w:rPr>
                <w:b/>
              </w:rPr>
              <w:t>Estado Organizacional</w:t>
            </w:r>
          </w:p>
        </w:tc>
      </w:tr>
      <w:tr>
        <w:tc>
          <w:tcPr>
            <w:tcW w:type="dxa" w:w="3331"/>
            <w:vAlign w:val="center"/>
          </w:tcPr>
          <w:p>
            <w:r>
              <w:t>95–100</w:t>
            </w:r>
          </w:p>
        </w:tc>
        <w:tc>
          <w:tcPr>
            <w:tcW w:type="dxa" w:w="3331"/>
            <w:vAlign w:val="center"/>
          </w:tcPr>
          <w:p>
            <w:r>
              <w:t>Nivel 7</w:t>
            </w:r>
          </w:p>
        </w:tc>
        <w:tc>
          <w:tcPr>
            <w:tcW w:type="dxa" w:w="3331"/>
            <w:vAlign w:val="center"/>
          </w:tcPr>
          <w:p>
            <w:r>
              <w:t>Organización Ejemplar</w:t>
            </w:r>
          </w:p>
        </w:tc>
      </w:tr>
      <w:tr>
        <w:tc>
          <w:tcPr>
            <w:tcW w:type="dxa" w:w="3331"/>
            <w:vAlign w:val="center"/>
          </w:tcPr>
          <w:p>
            <w:r>
              <w:t>90–94</w:t>
            </w:r>
          </w:p>
        </w:tc>
        <w:tc>
          <w:tcPr>
            <w:tcW w:type="dxa" w:w="3331"/>
            <w:vAlign w:val="center"/>
          </w:tcPr>
          <w:p>
            <w:r>
              <w:t>Nivel 6</w:t>
            </w:r>
          </w:p>
        </w:tc>
        <w:tc>
          <w:tcPr>
            <w:tcW w:type="dxa" w:w="3331"/>
            <w:vAlign w:val="center"/>
          </w:tcPr>
          <w:p>
            <w:r>
              <w:t>Organización Muy Saludable</w:t>
            </w:r>
          </w:p>
        </w:tc>
      </w:tr>
      <w:tr>
        <w:tc>
          <w:tcPr>
            <w:tcW w:type="dxa" w:w="3331"/>
            <w:vAlign w:val="center"/>
          </w:tcPr>
          <w:p>
            <w:r>
              <w:t>80–89</w:t>
            </w:r>
          </w:p>
        </w:tc>
        <w:tc>
          <w:tcPr>
            <w:tcW w:type="dxa" w:w="3331"/>
            <w:vAlign w:val="center"/>
          </w:tcPr>
          <w:p>
            <w:r>
              <w:t>Nivel 5</w:t>
            </w:r>
          </w:p>
        </w:tc>
        <w:tc>
          <w:tcPr>
            <w:tcW w:type="dxa" w:w="3331"/>
            <w:vAlign w:val="center"/>
          </w:tcPr>
          <w:p>
            <w:r>
              <w:t>Organización Saludable</w:t>
            </w:r>
          </w:p>
        </w:tc>
      </w:tr>
      <w:tr>
        <w:tc>
          <w:tcPr>
            <w:tcW w:type="dxa" w:w="3331"/>
            <w:vAlign w:val="center"/>
          </w:tcPr>
          <w:p>
            <w:r>
              <w:t>70–79</w:t>
            </w:r>
          </w:p>
        </w:tc>
        <w:tc>
          <w:tcPr>
            <w:tcW w:type="dxa" w:w="3331"/>
            <w:vAlign w:val="center"/>
          </w:tcPr>
          <w:p>
            <w:r>
              <w:t>Nivel 4</w:t>
            </w:r>
          </w:p>
        </w:tc>
        <w:tc>
          <w:tcPr>
            <w:tcW w:type="dxa" w:w="3331"/>
            <w:vAlign w:val="center"/>
          </w:tcPr>
          <w:p>
            <w:r>
              <w:t>Organización Estable con Riesgos</w:t>
            </w:r>
          </w:p>
        </w:tc>
      </w:tr>
      <w:tr>
        <w:tc>
          <w:tcPr>
            <w:tcW w:type="dxa" w:w="3331"/>
            <w:vAlign w:val="center"/>
          </w:tcPr>
          <w:p>
            <w:r>
              <w:t>60–69</w:t>
            </w:r>
          </w:p>
        </w:tc>
        <w:tc>
          <w:tcPr>
            <w:tcW w:type="dxa" w:w="3331"/>
            <w:vAlign w:val="center"/>
          </w:tcPr>
          <w:p>
            <w:r>
              <w:t>Nivel 3</w:t>
            </w:r>
          </w:p>
        </w:tc>
        <w:tc>
          <w:tcPr>
            <w:tcW w:type="dxa" w:w="3331"/>
            <w:vAlign w:val="center"/>
          </w:tcPr>
          <w:p>
            <w:r>
              <w:t>Organización en Proceso de Erosión</w:t>
            </w:r>
          </w:p>
        </w:tc>
      </w:tr>
      <w:tr>
        <w:tc>
          <w:tcPr>
            <w:tcW w:type="dxa" w:w="3331"/>
            <w:vAlign w:val="center"/>
          </w:tcPr>
          <w:p>
            <w:r>
              <w:t>50–59</w:t>
            </w:r>
          </w:p>
        </w:tc>
        <w:tc>
          <w:tcPr>
            <w:tcW w:type="dxa" w:w="3331"/>
            <w:vAlign w:val="center"/>
          </w:tcPr>
          <w:p>
            <w:r>
              <w:t>Nivel 2</w:t>
            </w:r>
          </w:p>
        </w:tc>
        <w:tc>
          <w:tcPr>
            <w:tcW w:type="dxa" w:w="3331"/>
            <w:vAlign w:val="center"/>
          </w:tcPr>
          <w:p>
            <w:r>
              <w:t>Organización con Erosión Importante</w:t>
            </w:r>
          </w:p>
        </w:tc>
      </w:tr>
      <w:tr>
        <w:tc>
          <w:tcPr>
            <w:tcW w:type="dxa" w:w="3331"/>
            <w:vAlign w:val="center"/>
          </w:tcPr>
          <w:p>
            <w:r>
              <w:t>0–49</w:t>
            </w:r>
          </w:p>
        </w:tc>
        <w:tc>
          <w:tcPr>
            <w:tcW w:type="dxa" w:w="3331"/>
            <w:vAlign w:val="center"/>
          </w:tcPr>
          <w:p>
            <w:r>
              <w:t>Nivel 1</w:t>
            </w:r>
          </w:p>
        </w:tc>
        <w:tc>
          <w:tcPr>
            <w:tcW w:type="dxa" w:w="3331"/>
            <w:vAlign w:val="center"/>
          </w:tcPr>
          <w:p>
            <w:r>
              <w:t>Organización en Estado Crítico</w:t>
            </w:r>
          </w:p>
        </w:tc>
      </w:tr>
    </w:tbl>
    <w:p/>
    <w:p>
      <w:r>
        <w:t>La escala describe estados de salud organizacional; no pretende etiquetar o calificar moralmente a una organización.</w:t>
      </w:r>
    </w:p>
    <w:p>
      <w:pPr>
        <w:pStyle w:val="Heading1"/>
      </w:pPr>
      <w:r>
        <w:t>15. Semáforo Organizacional</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tcPr>
          <w:p>
            <w:r>
              <w:rPr>
                <w:b/>
              </w:rPr>
              <w:t>Color</w:t>
            </w:r>
          </w:p>
        </w:tc>
        <w:tc>
          <w:tcPr>
            <w:tcW w:type="dxa" w:w="3331"/>
            <w:shd w:fill="D9EAF7"/>
          </w:tcPr>
          <w:p>
            <w:r>
              <w:rPr>
                <w:b/>
              </w:rPr>
              <w:t>Índice</w:t>
            </w:r>
          </w:p>
        </w:tc>
        <w:tc>
          <w:tcPr>
            <w:tcW w:type="dxa" w:w="3331"/>
            <w:shd w:fill="D9EAF7"/>
          </w:tcPr>
          <w:p>
            <w:r>
              <w:rPr>
                <w:b/>
              </w:rPr>
              <w:t>Estado</w:t>
            </w:r>
          </w:p>
        </w:tc>
      </w:tr>
      <w:tr>
        <w:tc>
          <w:tcPr>
            <w:tcW w:type="dxa" w:w="3331"/>
            <w:vAlign w:val="center"/>
          </w:tcPr>
          <w:p>
            <w:r>
              <w:t>Verde oscuro</w:t>
            </w:r>
          </w:p>
        </w:tc>
        <w:tc>
          <w:tcPr>
            <w:tcW w:type="dxa" w:w="3331"/>
            <w:vAlign w:val="center"/>
          </w:tcPr>
          <w:p>
            <w:r>
              <w:t>90–100</w:t>
            </w:r>
          </w:p>
        </w:tc>
        <w:tc>
          <w:tcPr>
            <w:tcW w:type="dxa" w:w="3331"/>
            <w:vAlign w:val="center"/>
          </w:tcPr>
          <w:p>
            <w:r>
              <w:t>Salud organizacional consolidada</w:t>
            </w:r>
          </w:p>
        </w:tc>
      </w:tr>
      <w:tr>
        <w:tc>
          <w:tcPr>
            <w:tcW w:type="dxa" w:w="3331"/>
            <w:vAlign w:val="center"/>
          </w:tcPr>
          <w:p>
            <w:r>
              <w:t>Verde claro</w:t>
            </w:r>
          </w:p>
        </w:tc>
        <w:tc>
          <w:tcPr>
            <w:tcW w:type="dxa" w:w="3331"/>
            <w:vAlign w:val="center"/>
          </w:tcPr>
          <w:p>
            <w:r>
              <w:t>80–89</w:t>
            </w:r>
          </w:p>
        </w:tc>
        <w:tc>
          <w:tcPr>
            <w:tcW w:type="dxa" w:w="3331"/>
            <w:vAlign w:val="center"/>
          </w:tcPr>
          <w:p>
            <w:r>
              <w:t>Salud organizacional favorable</w:t>
            </w:r>
          </w:p>
        </w:tc>
      </w:tr>
      <w:tr>
        <w:tc>
          <w:tcPr>
            <w:tcW w:type="dxa" w:w="3331"/>
            <w:vAlign w:val="center"/>
          </w:tcPr>
          <w:p>
            <w:r>
              <w:t>Amarillo</w:t>
            </w:r>
          </w:p>
        </w:tc>
        <w:tc>
          <w:tcPr>
            <w:tcW w:type="dxa" w:w="3331"/>
            <w:vAlign w:val="center"/>
          </w:tcPr>
          <w:p>
            <w:r>
              <w:t>70–79</w:t>
            </w:r>
          </w:p>
        </w:tc>
        <w:tc>
          <w:tcPr>
            <w:tcW w:type="dxa" w:w="3331"/>
            <w:vAlign w:val="center"/>
          </w:tcPr>
          <w:p>
            <w:r>
              <w:t>Atención preventiva</w:t>
            </w:r>
          </w:p>
        </w:tc>
      </w:tr>
      <w:tr>
        <w:tc>
          <w:tcPr>
            <w:tcW w:type="dxa" w:w="3331"/>
            <w:vAlign w:val="center"/>
          </w:tcPr>
          <w:p>
            <w:r>
              <w:t>Naranja</w:t>
            </w:r>
          </w:p>
        </w:tc>
        <w:tc>
          <w:tcPr>
            <w:tcW w:type="dxa" w:w="3331"/>
            <w:vAlign w:val="center"/>
          </w:tcPr>
          <w:p>
            <w:r>
              <w:t>60–69</w:t>
            </w:r>
          </w:p>
        </w:tc>
        <w:tc>
          <w:tcPr>
            <w:tcW w:type="dxa" w:w="3331"/>
            <w:vAlign w:val="center"/>
          </w:tcPr>
          <w:p>
            <w:r>
              <w:t>Riesgo de erosión</w:t>
            </w:r>
          </w:p>
        </w:tc>
      </w:tr>
      <w:tr>
        <w:tc>
          <w:tcPr>
            <w:tcW w:type="dxa" w:w="3331"/>
            <w:vAlign w:val="center"/>
          </w:tcPr>
          <w:p>
            <w:r>
              <w:t>Rojo</w:t>
            </w:r>
          </w:p>
        </w:tc>
        <w:tc>
          <w:tcPr>
            <w:tcW w:type="dxa" w:w="3331"/>
            <w:vAlign w:val="center"/>
          </w:tcPr>
          <w:p>
            <w:r>
              <w:t>0–59</w:t>
            </w:r>
          </w:p>
        </w:tc>
        <w:tc>
          <w:tcPr>
            <w:tcW w:type="dxa" w:w="3331"/>
            <w:vAlign w:val="center"/>
          </w:tcPr>
          <w:p>
            <w:r>
              <w:t>Intervención prioritaria</w:t>
            </w:r>
          </w:p>
        </w:tc>
      </w:tr>
    </w:tbl>
    <w:p/>
    <w:p>
      <w:r>
        <w:t>El Semáforo complementa la escala de siete niveles con una lectura visual rápida; no la sustituye.</w:t>
      </w:r>
    </w:p>
    <w:p>
      <w:pPr>
        <w:pStyle w:val="Heading1"/>
      </w:pPr>
      <w:r>
        <w:t>16. Regla de Interpretación Sistémica</w:t>
      </w:r>
    </w:p>
    <w:p>
      <w:pPr>
        <w:ind w:left="504"/>
      </w:pPr>
      <w:r>
        <w:rPr>
          <w:b/>
          <w:i/>
          <w:color w:val="444444"/>
        </w:rPr>
        <w:t>El Índice Global nunca debe interpretarse de manera aislada.</w:t>
      </w:r>
    </w:p>
    <w:p>
      <w:r>
        <w:t>Dos organizaciones pueden obtener el mismo Índice Global y presentar configuraciones radicalmente diferentes entre sus ocho Elementos. En la arquitectura multifuente, incluso dos organizaciones con perfiles similares por Elemento pueden presentar brechas muy distintas entre perspectivas.</w:t>
      </w:r>
    </w:p>
    <w:p>
      <w:pPr>
        <w:ind w:left="504"/>
      </w:pPr>
      <w:r>
        <w:rPr>
          <w:b/>
          <w:i/>
          <w:color w:val="444444"/>
        </w:rPr>
        <w:t>El Índice Global resume la salud general; los ocho Elementos explican la composición del resultado y las cinco perspectivas muestran cómo esa realidad es experimentada desde distintos puntos de observación.</w:t>
      </w:r>
    </w:p>
    <w:p>
      <w:r>
        <w:t>Ningún informe oficial del IEO deberá presentar el Índice Global sin mostrar simultáneamente el desempeño de los ocho Elementos. En aplicaciones multifuente, deberá mostrar además las perspectivas disponibles y las brechas relevantes.</w:t>
      </w:r>
    </w:p>
    <w:p>
      <w:pPr>
        <w:pStyle w:val="Heading1"/>
      </w:pPr>
      <w:r>
        <w:t>17. Reglas de suficiencia y límites</w:t>
      </w:r>
    </w:p>
    <w:p>
      <w:pPr>
        <w:pStyle w:val="ListBullet"/>
      </w:pPr>
      <w:r>
        <w:t>N/A nunca se convierte en una puntuación neutral.</w:t>
      </w:r>
    </w:p>
    <w:p>
      <w:pPr>
        <w:pStyle w:val="ListBullet"/>
      </w:pPr>
      <w:r>
        <w:t>ND nunca se convierte en cero ni se utiliza para completar promedios.</w:t>
      </w:r>
    </w:p>
    <w:p>
      <w:pPr>
        <w:pStyle w:val="ListBullet"/>
      </w:pPr>
      <w:r>
        <w:t>No se imputan perspectivas o Elementos faltantes.</w:t>
      </w:r>
    </w:p>
    <w:p>
      <w:pPr>
        <w:pStyle w:val="ListBullet"/>
      </w:pPr>
      <w:r>
        <w:t>La BT no modifica la puntuación de salud; únicamente expresa distancia entre perspectivas.</w:t>
      </w:r>
    </w:p>
    <w:p>
      <w:pPr>
        <w:pStyle w:val="ListBullet"/>
      </w:pPr>
      <w:r>
        <w:t>El RI es una síntesis descriptiva de perspectivas con igual peso conceptual.</w:t>
      </w:r>
    </w:p>
    <w:p>
      <w:pPr>
        <w:pStyle w:val="ListBullet"/>
      </w:pPr>
      <w:r>
        <w:t>Los umbrales de cobertura y BT son operativos y deberán revisarse con evidencia de pilotaje.</w:t>
      </w:r>
    </w:p>
    <w:p>
      <w:pPr>
        <w:pStyle w:val="ListBullet"/>
      </w:pPr>
      <w:r>
        <w:t>Las puntuaciones describen condiciones; no demuestran causalidad ni identifican culpables.</w:t>
      </w:r>
    </w:p>
    <w:p>
      <w:pPr>
        <w:pStyle w:val="ListBullet"/>
      </w:pPr>
      <w:r>
        <w:t>El Índice Global no sustituye el análisis por Elemento, perspectiva, evidencia cualitativa e interacciones.</w:t>
      </w:r>
    </w:p>
    <w:p>
      <w:pPr>
        <w:pStyle w:val="Heading1"/>
      </w:pPr>
      <w:r>
        <w:t>18. Ejemplo integrado de cálculo</w:t>
      </w:r>
    </w:p>
    <w:p>
      <w:r>
        <w:t>Supongamos que el Elemento Dirección y Propósito obtiene los siguientes resultados por perspectiva:</w:t>
      </w:r>
    </w:p>
    <w:tbl>
      <w:tblPr>
        <w:tblStyle w:val="TableGrid"/>
        <w:tblW w:type="auto" w:w="0"/>
        <w:jc w:val="center"/>
        <w:tblLook w:firstColumn="1" w:firstRow="1" w:lastColumn="0" w:lastRow="0" w:noHBand="0" w:noVBand="1" w:val="04A0"/>
      </w:tblPr>
      <w:tblGrid>
        <w:gridCol w:w="4997"/>
        <w:gridCol w:w="4997"/>
      </w:tblGrid>
      <w:tr>
        <w:tc>
          <w:tcPr>
            <w:tcW w:type="dxa" w:w="4997"/>
            <w:shd w:fill="D9EAF7"/>
          </w:tcPr>
          <w:p>
            <w:r>
              <w:rPr>
                <w:b/>
              </w:rPr>
              <w:t>Perspectiva</w:t>
            </w:r>
          </w:p>
        </w:tc>
        <w:tc>
          <w:tcPr>
            <w:tcW w:type="dxa" w:w="4997"/>
            <w:shd w:fill="D9EAF7"/>
          </w:tcPr>
          <w:p>
            <w:r>
              <w:rPr>
                <w:b/>
              </w:rPr>
              <w:t>Resultado IEO</w:t>
            </w:r>
          </w:p>
        </w:tc>
      </w:tr>
      <w:tr>
        <w:tc>
          <w:tcPr>
            <w:tcW w:type="dxa" w:w="4997"/>
            <w:vAlign w:val="center"/>
          </w:tcPr>
          <w:p>
            <w:r>
              <w:t>Dirección</w:t>
            </w:r>
          </w:p>
        </w:tc>
        <w:tc>
          <w:tcPr>
            <w:tcW w:type="dxa" w:w="4997"/>
            <w:vAlign w:val="center"/>
          </w:tcPr>
          <w:p>
            <w:r>
              <w:t>90</w:t>
            </w:r>
          </w:p>
        </w:tc>
      </w:tr>
      <w:tr>
        <w:tc>
          <w:tcPr>
            <w:tcW w:type="dxa" w:w="4997"/>
            <w:vAlign w:val="center"/>
          </w:tcPr>
          <w:p>
            <w:r>
              <w:t>Especialistas</w:t>
            </w:r>
          </w:p>
        </w:tc>
        <w:tc>
          <w:tcPr>
            <w:tcW w:type="dxa" w:w="4997"/>
            <w:vAlign w:val="center"/>
          </w:tcPr>
          <w:p>
            <w:r>
              <w:t>82</w:t>
            </w:r>
          </w:p>
        </w:tc>
      </w:tr>
      <w:tr>
        <w:tc>
          <w:tcPr>
            <w:tcW w:type="dxa" w:w="4997"/>
            <w:vAlign w:val="center"/>
          </w:tcPr>
          <w:p>
            <w:r>
              <w:t>Liderazgo</w:t>
            </w:r>
          </w:p>
        </w:tc>
        <w:tc>
          <w:tcPr>
            <w:tcW w:type="dxa" w:w="4997"/>
            <w:vAlign w:val="center"/>
          </w:tcPr>
          <w:p>
            <w:r>
              <w:t>74</w:t>
            </w:r>
          </w:p>
        </w:tc>
      </w:tr>
      <w:tr>
        <w:tc>
          <w:tcPr>
            <w:tcW w:type="dxa" w:w="4997"/>
            <w:vAlign w:val="center"/>
          </w:tcPr>
          <w:p>
            <w:r>
              <w:t>Colaboradores</w:t>
            </w:r>
          </w:p>
        </w:tc>
        <w:tc>
          <w:tcPr>
            <w:tcW w:type="dxa" w:w="4997"/>
            <w:vAlign w:val="center"/>
          </w:tcPr>
          <w:p>
            <w:r>
              <w:t>63</w:t>
            </w:r>
          </w:p>
        </w:tc>
      </w:tr>
      <w:tr>
        <w:tc>
          <w:tcPr>
            <w:tcW w:type="dxa" w:w="4997"/>
            <w:vAlign w:val="center"/>
          </w:tcPr>
          <w:p>
            <w:r>
              <w:t>Voz del Cliente</w:t>
            </w:r>
          </w:p>
        </w:tc>
        <w:tc>
          <w:tcPr>
            <w:tcW w:type="dxa" w:w="4997"/>
            <w:vAlign w:val="center"/>
          </w:tcPr>
          <w:p>
            <w:r>
              <w:t>70</w:t>
            </w:r>
          </w:p>
        </w:tc>
      </w:tr>
    </w:tbl>
    <w:p/>
    <w:p>
      <w:r>
        <w:t>Resultado Integrado:</w:t>
      </w:r>
    </w:p>
    <w:p>
      <w:pPr>
        <w:ind w:left="504"/>
      </w:pPr>
      <w:r>
        <w:rPr>
          <w:b/>
          <w:i/>
          <w:color w:val="444444"/>
        </w:rPr>
        <w:t>RI₃ = (90 + 82 + 74 + 63 + 70) / 5 = 75.8</w:t>
      </w:r>
    </w:p>
    <w:p>
      <w:r>
        <w:t>Brecha de Triangulación:</w:t>
      </w:r>
    </w:p>
    <w:p>
      <w:pPr>
        <w:ind w:left="504"/>
      </w:pPr>
      <w:r>
        <w:rPr>
          <w:b/>
          <w:i/>
          <w:color w:val="444444"/>
        </w:rPr>
        <w:t>BT₃ = 90 − 63 = 27</w:t>
      </w:r>
    </w:p>
    <w:p>
      <w:r>
        <w:t>Lectura: el Elemento presenta un resultado integrado de 75.8 puntos, correspondiente al rango de Organización Estable con Riesgos, y una Brecha de Triangulación relevante. La síntesis no debe ocultar que Dirección y Colaboradores experimentan el Elemento de manera sustancialmente distinta.</w:t>
      </w:r>
    </w:p>
    <w:p>
      <w:pPr>
        <w:pStyle w:val="Heading1"/>
      </w:pPr>
      <w:r>
        <w:t>19. Trazabilidad del modelo</w:t>
      </w:r>
    </w:p>
    <w:p>
      <w:r>
        <w:t>La trazabilidad oficial de un resultado deberá poder reconstruirse mediante la siguiente cadena:</w:t>
      </w:r>
    </w:p>
    <w:p>
      <w:pPr>
        <w:ind w:left="504"/>
      </w:pPr>
      <w:r>
        <w:rPr>
          <w:b/>
          <w:i/>
          <w:color w:val="444444"/>
        </w:rPr>
        <w:t>ÍNDICE GLOBAL → ELEMENTO INTEGRADO → PERSPECTIVAS → PARTICIPANTES → REACTIVOS VÁLIDOS → RESPUESTAS ORIGINALES</w:t>
      </w:r>
    </w:p>
    <w:p>
      <w:r>
        <w:t>Cuando existan reactivos inversos, N/A o ND, su tratamiento deberá permanecer documentado en la base de cálculo.</w:t>
      </w:r>
    </w:p>
    <w:p>
      <w:pPr>
        <w:pStyle w:val="Heading1"/>
      </w:pPr>
      <w:r>
        <w:t>20. Disposición para pilotaje y validación</w:t>
      </w:r>
    </w:p>
    <w:p>
      <w:r>
        <w:t>La Versión 1.1 constituye la referencia matemática oficial para el pilotaje del IEO. El pilotaje deberá aportar evidencia para revisar, entre otros aspectos, la cobertura mínima del 60 %, los umbrales de BT, la estabilidad de la escala de salud, el comportamiento de N/A y la utilidad diagnóstica de los resultados integrados.</w:t>
      </w:r>
    </w:p>
    <w:p>
      <w:r>
        <w:t>Cualquier ajuste posterior deberá registrarse mediante control de versión y conservar trazabilidad con esta versión.</w:t>
      </w:r>
    </w:p>
    <w:p>
      <w:pPr>
        <w:pStyle w:val="Heading1"/>
      </w:pPr>
      <w:r>
        <w:t>Anexo. Resumen de fórmulas oficiales</w:t>
      </w:r>
    </w:p>
    <w:tbl>
      <w:tblPr>
        <w:tblStyle w:val="TableGrid"/>
        <w:tblW w:type="auto" w:w="0"/>
        <w:jc w:val="center"/>
        <w:tblLook w:firstColumn="1" w:firstRow="1" w:lastColumn="0" w:lastRow="0" w:noHBand="0" w:noVBand="1" w:val="04A0"/>
      </w:tblPr>
      <w:tblGrid>
        <w:gridCol w:w="4997"/>
        <w:gridCol w:w="4997"/>
      </w:tblGrid>
      <w:tr>
        <w:tc>
          <w:tcPr>
            <w:tcW w:type="dxa" w:w="4997"/>
            <w:shd w:fill="D9EAF7"/>
          </w:tcPr>
          <w:p>
            <w:r>
              <w:rPr>
                <w:b/>
              </w:rPr>
              <w:t>Cálculo</w:t>
            </w:r>
          </w:p>
        </w:tc>
        <w:tc>
          <w:tcPr>
            <w:tcW w:type="dxa" w:w="4997"/>
            <w:shd w:fill="D9EAF7"/>
          </w:tcPr>
          <w:p>
            <w:r>
              <w:rPr>
                <w:b/>
              </w:rPr>
              <w:t>Fórmula</w:t>
            </w:r>
          </w:p>
        </w:tc>
      </w:tr>
      <w:tr>
        <w:tc>
          <w:tcPr>
            <w:tcW w:type="dxa" w:w="4997"/>
            <w:vAlign w:val="center"/>
          </w:tcPr>
          <w:p>
            <w:r>
              <w:t>Conversión Likert directa</w:t>
            </w:r>
          </w:p>
        </w:tc>
        <w:tc>
          <w:tcPr>
            <w:tcW w:type="dxa" w:w="4997"/>
            <w:vAlign w:val="center"/>
          </w:tcPr>
          <w:p>
            <w:r>
              <w:t>X_IEO = 25 × (L − 1)</w:t>
            </w:r>
          </w:p>
        </w:tc>
      </w:tr>
      <w:tr>
        <w:tc>
          <w:tcPr>
            <w:tcW w:type="dxa" w:w="4997"/>
            <w:vAlign w:val="center"/>
          </w:tcPr>
          <w:p>
            <w:r>
              <w:t>Recodificación inversa</w:t>
            </w:r>
          </w:p>
        </w:tc>
        <w:tc>
          <w:tcPr>
            <w:tcW w:type="dxa" w:w="4997"/>
            <w:vAlign w:val="center"/>
          </w:tcPr>
          <w:p>
            <w:r>
              <w:t>L_inv = 6 − L</w:t>
            </w:r>
          </w:p>
        </w:tc>
      </w:tr>
      <w:tr>
        <w:tc>
          <w:tcPr>
            <w:tcW w:type="dxa" w:w="4997"/>
            <w:vAlign w:val="center"/>
          </w:tcPr>
          <w:p>
            <w:r>
              <w:t>Puntuación individual por Elemento</w:t>
            </w:r>
          </w:p>
        </w:tc>
        <w:tc>
          <w:tcPr>
            <w:tcW w:type="dxa" w:w="4997"/>
            <w:vAlign w:val="center"/>
          </w:tcPr>
          <w:p>
            <w:r>
              <w:t>PIₑ = ΣX_IEO / Nᵥ</w:t>
            </w:r>
          </w:p>
        </w:tc>
      </w:tr>
      <w:tr>
        <w:tc>
          <w:tcPr>
            <w:tcW w:type="dxa" w:w="4997"/>
            <w:vAlign w:val="center"/>
          </w:tcPr>
          <w:p>
            <w:r>
              <w:t>Resultado por perspectiva</w:t>
            </w:r>
          </w:p>
        </w:tc>
        <w:tc>
          <w:tcPr>
            <w:tcW w:type="dxa" w:w="4997"/>
            <w:vAlign w:val="center"/>
          </w:tcPr>
          <w:p>
            <w:r>
              <w:t>RPₑ,ₚ = ΣPIₑ / Nₚ</w:t>
            </w:r>
          </w:p>
        </w:tc>
      </w:tr>
      <w:tr>
        <w:tc>
          <w:tcPr>
            <w:tcW w:type="dxa" w:w="4997"/>
            <w:vAlign w:val="center"/>
          </w:tcPr>
          <w:p>
            <w:r>
              <w:t>IEO por perspectiva</w:t>
            </w:r>
          </w:p>
        </w:tc>
        <w:tc>
          <w:tcPr>
            <w:tcW w:type="dxa" w:w="4997"/>
            <w:vAlign w:val="center"/>
          </w:tcPr>
          <w:p>
            <w:r>
              <w:t>IEOₚ = ΣRPₑ,ₚ / 8</w:t>
            </w:r>
          </w:p>
        </w:tc>
      </w:tr>
      <w:tr>
        <w:tc>
          <w:tcPr>
            <w:tcW w:type="dxa" w:w="4997"/>
            <w:vAlign w:val="center"/>
          </w:tcPr>
          <w:p>
            <w:r>
              <w:t>Brecha de Triangulación</w:t>
            </w:r>
          </w:p>
        </w:tc>
        <w:tc>
          <w:tcPr>
            <w:tcW w:type="dxa" w:w="4997"/>
            <w:vAlign w:val="center"/>
          </w:tcPr>
          <w:p>
            <w:r>
              <w:t>BTₑ = RP_máx − RP_mín</w:t>
            </w:r>
          </w:p>
        </w:tc>
      </w:tr>
      <w:tr>
        <w:tc>
          <w:tcPr>
            <w:tcW w:type="dxa" w:w="4997"/>
            <w:vAlign w:val="center"/>
          </w:tcPr>
          <w:p>
            <w:r>
              <w:t>Resultado Integrado por Elemento</w:t>
            </w:r>
          </w:p>
        </w:tc>
        <w:tc>
          <w:tcPr>
            <w:tcW w:type="dxa" w:w="4997"/>
            <w:vAlign w:val="center"/>
          </w:tcPr>
          <w:p>
            <w:r>
              <w:t>RIₑ = ΣRPₑ,ₚ / Pᵥ</w:t>
            </w:r>
          </w:p>
        </w:tc>
      </w:tr>
      <w:tr>
        <w:tc>
          <w:tcPr>
            <w:tcW w:type="dxa" w:w="4997"/>
            <w:vAlign w:val="center"/>
          </w:tcPr>
          <w:p>
            <w:r>
              <w:t>Índice Global Integrado</w:t>
            </w:r>
          </w:p>
        </w:tc>
        <w:tc>
          <w:tcPr>
            <w:tcW w:type="dxa" w:w="4997"/>
            <w:vAlign w:val="center"/>
          </w:tcPr>
          <w:p>
            <w:r>
              <w:t>IEO_Global = ΣRIₑ / 8</w:t>
            </w:r>
          </w:p>
        </w:tc>
      </w:tr>
    </w:tbl>
    <w:p/>
    <w:p>
      <w:pPr>
        <w:jc w:val="center"/>
      </w:pPr>
      <w:r>
        <w:rPr>
          <w:color w:val="5A5A5A"/>
          <w:sz w:val="18"/>
        </w:rPr>
        <w:t>Modelo Los 8 Elementos del Éxito® · Índice de Erosión Organizacional®</w:t>
        <w:br/>
        <w:t>© Pedro Eloy Rodríguez Garza. Todos los derechos reservados.</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Modelo Matemático Oficial IEO® · Versión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