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40"/>
        </w:rPr>
      </w:pPr>
      <w:r>
        <w:rPr>
          <w:rFonts w:hint="eastAsia" w:ascii="黑体" w:hAnsi="黑体" w:eastAsia="黑体" w:cs="黑体"/>
          <w:b/>
          <w:bCs/>
          <w:sz w:val="32"/>
          <w:szCs w:val="40"/>
        </w:rPr>
        <w:t>实验五：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SVM</w:t>
      </w:r>
      <w:r>
        <w:rPr>
          <w:rFonts w:hint="eastAsia" w:ascii="黑体" w:hAnsi="黑体" w:eastAsia="黑体" w:cs="黑体"/>
          <w:b/>
          <w:bCs/>
          <w:sz w:val="32"/>
          <w:szCs w:val="40"/>
        </w:rPr>
        <w:t xml:space="preserve">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40"/>
          <w:lang w:val="en-US" w:eastAsia="zh-CN"/>
        </w:rPr>
        <w:t xml:space="preserve">1、描述 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            </w:t>
      </w: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这个练习让你练习使用SVM进行线性和非线性分类。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40"/>
          <w:lang w:val="en-US" w:eastAsia="zh-CN"/>
        </w:rPr>
        <w:t>2、SVM</w:t>
      </w: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第一部分是实现正则化的SVM分类算法。它的细节可以在lecture slides中找到。下面我们只给出一个关于支持向量机的草图。正则化SVM可以表述为：</w:t>
      </w:r>
    </w:p>
    <w:p>
      <w:pPr>
        <w:ind w:firstLine="42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2800350" cy="736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 xml:space="preserve"> </w:t>
      </w:r>
    </w:p>
    <w:p>
      <w:pPr>
        <w:ind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其中 ξi 是松弛变量。它的双重性问题可以归结为：</w:t>
      </w:r>
    </w:p>
    <w:p>
      <w:p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3086100" cy="10985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通过求解上述QP问题，可以得到一个SVM分类器。为了简单起见，我们可以使用现有的QP求解器（例如，MATLAB中的四叉树或Octave中的qp）。 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给出了两个数据集，每个数据集分别分为训练和测试两部分。特别地，rst数据集包括用于训练的traing 1.txt和用于测试的test 1.txt，而第二数据集包括traing 2.txt和test 2.txt。在这些数据中，rst两列是特征，最后一列是label.分别在两个数据集上尝试SVM，并回答以下问题：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1、用训练数据绘制SVM的决策边界。 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使用测试数据评估SVM分类器，并显示被错误分类的测试示例部分。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尝试正则化项C的二元数值，并报告您的观察结果。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3、手写数字识别 </w:t>
      </w:r>
    </w:p>
    <w:p>
      <w:pPr>
        <w:numPr>
          <w:numId w:val="0"/>
        </w:numPr>
        <w:ind w:firstLine="480" w:firstLineChars="20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第二部分是应用SVM分类器识别手写数字。在 train-01-image.svm 和 test01-images.svm中给出了用于训练和测试的数据集。为了简单起见，我们只区分0和1。训练数据集包括12665幅图像，而用于测试的数据集包括2115幅图像。每行表示一个图像，其中rst项是标签，而以下是像素的索引和对应的灰度值。注意，仅给出具有非零灰度值的像素。请仔细阅读并尝试strimage.m，其中给出了如何处理数据示例。在报表中显示一些数据示例。根据训练数据训练SVM模型，并将其应用于识别测试数据集中给出的手写数字。回答以下问题：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在train-01-images.svm上训练一个普通的SVM（即，对于∀i，ξi=0没有正则化）。什么是训练误差，即训练数据中被错误分类的示例部分。从一组错误分类图像中挑选一个。 附上它的plot与你的解决方案。为什么你认为SVM在训练过程中没有正确分类？现在将SVM应用于测试集test-01-image.svm；测试错误是什么，即错误分类的测试数据的部分？  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试验正则化项C的二元数值。从猜测/估计你认为C应该存在的范围开始。然后选择C值（在该范围内），您将在该值上评估SVM的性能。您不需要选择超过10个这样的值，尽管您应该可以随意选择这么多（或更少！）如你所愿。对于C的这些值，绘制相应的误差。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C的哪一个值给您从部分数据集上的最佳训练错误？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这种选择C的测试误差与您在(i)部分计算的测试误差相比如何？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（iii）你能优化C使其产生最好的测试错误而不是训练错误吗？你应该吗？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4、非线性SVM</w:t>
      </w:r>
    </w:p>
    <w:p>
      <w:pPr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实现非线性SVM的一种方法是引入内核。回想一下，线性不可分离特征在映射到高维特征空间之后常常变得线性可分离。然而，我们永远不需要显式地计算特征映射φ(x(i))：我们只需要处理它们的内核，它们更容易计算。因此，可以基于高维（甚至内维）特征映射来创建非常复杂的决策边界，但是由于内核表示，仍然具有复杂的计算。 </w:t>
      </w:r>
    </w:p>
    <w:p>
      <w:pPr>
        <w:numPr>
          <w:numId w:val="0"/>
        </w:numPr>
        <w:ind w:leftChars="0" w:firstLine="480" w:firstLineChars="200"/>
        <w:jc w:val="both"/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在本练习中，您将把径向基函数（RBF）内核（而不是正则化方法）应用到SVM模型。这个内核有公式：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     </w:t>
      </w:r>
      <w:r>
        <w:drawing>
          <wp:inline distT="0" distB="0" distL="114300" distR="114300">
            <wp:extent cx="3905250" cy="3365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注意，这与高斯内核是一样的，只是高斯核中的项</w:t>
      </w:r>
      <w:r>
        <w:drawing>
          <wp:inline distT="0" distB="0" distL="114300" distR="114300">
            <wp:extent cx="254000" cy="2698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已经被γ代替了。再一次，请记住，在任何时候，您都不需要直接计算φ(x)。实际上，φ(x)对于这个内核来说是无穷维的，所以不可能将它存储在内存中。</w:t>
      </w:r>
    </w:p>
    <w:p>
      <w:pPr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现在让我们看看RBF核如何选择一个非线性决策边界。将数据集训练 training 3.txt加载到Matlab/OcthVE工作空间中。这是一个二维分类问题。用不同的颜色绘制正反两种颜色。这个数据集是否存在线性决策边界？</w:t>
      </w:r>
    </w:p>
    <w:p>
      <w:pPr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根据上述练习，在γ=100的RBF核上训练SVM模型。一旦有了模型，您就需要可视化决策边界，参考以下代码：</w:t>
      </w:r>
    </w:p>
    <w:p>
      <w:pPr>
        <w:numPr>
          <w:numId w:val="0"/>
        </w:numPr>
        <w:ind w:leftChars="0" w:firstLine="420" w:firstLineChars="200"/>
        <w:jc w:val="center"/>
      </w:pPr>
      <w:r>
        <w:drawing>
          <wp:inline distT="0" distB="0" distL="114300" distR="114300">
            <wp:extent cx="4660900" cy="18605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回想一下，函数</w:t>
      </w:r>
      <w:r>
        <w:drawing>
          <wp:inline distT="0" distB="0" distL="114300" distR="114300">
            <wp:extent cx="1149350" cy="16510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给出用于进行分类的决策值。如果</w:t>
      </w:r>
      <w:r>
        <w:drawing>
          <wp:inline distT="0" distB="0" distL="114300" distR="114300">
            <wp:extent cx="1384300" cy="184150"/>
            <wp:effectExtent l="0" t="0" r="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示例x被分类为正示例，否则被分类为负。现在使用1、10、100和1000的γ值训练模型，并为每个模型绘制决策边界（不使用等高线ll）。边界的T如何随γ变化？ </w: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5、序贯最小优化 </w:t>
      </w:r>
    </w:p>
    <w:p>
      <w:pPr>
        <w:numPr>
          <w:numId w:val="0"/>
        </w:numPr>
        <w:ind w:leftChars="0" w:firstLine="480" w:firstLineChars="200"/>
        <w:jc w:val="both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这是一个可选的练习。如果可以使用序列最小优化（Se.ialMinimal.，SMO）算法来替换标准QP求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解器，则可以获得额外的学分。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C6B8"/>
    <w:multiLevelType w:val="singleLevel"/>
    <w:tmpl w:val="0B04C6B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0BDA1A15"/>
    <w:multiLevelType w:val="singleLevel"/>
    <w:tmpl w:val="0BDA1A1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0D2C9A3"/>
    <w:multiLevelType w:val="singleLevel"/>
    <w:tmpl w:val="10D2C9A3"/>
    <w:lvl w:ilvl="0" w:tentative="0">
      <w:start w:val="1"/>
      <w:numFmt w:val="lowerRoman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3010D"/>
    <w:rsid w:val="06B63C9C"/>
    <w:rsid w:val="5FE301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2018-11-22T10:17:00Z</dcterms:created>
  <dc:creator>庸人自扰</dc:creator>
  <cp:lastModifiedBy>庸人自扰</cp:lastModifiedBy>
  <dcterms:modified xsi:type="dcterms:W3CDTF">2018-11-22T11:31:09Z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