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3546" w:rsidRPr="007B231B" w:rsidRDefault="000C3546" w:rsidP="000C3546">
      <w:pPr>
        <w:pStyle w:val="KeinLeerraum"/>
        <w:jc w:val="center"/>
        <w:rPr>
          <w:b/>
          <w:bCs/>
          <w:sz w:val="36"/>
          <w:szCs w:val="36"/>
          <w:u w:val="single"/>
        </w:rPr>
      </w:pPr>
      <w:r w:rsidRPr="007B231B">
        <w:rPr>
          <w:b/>
          <w:bCs/>
          <w:sz w:val="36"/>
          <w:szCs w:val="36"/>
          <w:u w:val="single"/>
        </w:rPr>
        <w:t xml:space="preserve">Marine </w:t>
      </w:r>
      <w:proofErr w:type="spellStart"/>
      <w:r>
        <w:rPr>
          <w:b/>
          <w:bCs/>
          <w:sz w:val="36"/>
          <w:szCs w:val="36"/>
          <w:u w:val="single"/>
        </w:rPr>
        <w:t>Harbour</w:t>
      </w:r>
      <w:proofErr w:type="spellEnd"/>
      <w:r w:rsidRPr="007B231B">
        <w:rPr>
          <w:b/>
          <w:bCs/>
          <w:sz w:val="36"/>
          <w:szCs w:val="36"/>
          <w:u w:val="single"/>
        </w:rPr>
        <w:t xml:space="preserve"> </w:t>
      </w:r>
      <w:r>
        <w:rPr>
          <w:b/>
          <w:bCs/>
          <w:sz w:val="36"/>
          <w:szCs w:val="36"/>
          <w:u w:val="single"/>
        </w:rPr>
        <w:t>Infrastructure</w:t>
      </w:r>
      <w:r w:rsidRPr="007B231B">
        <w:rPr>
          <w:b/>
          <w:bCs/>
          <w:sz w:val="36"/>
          <w:szCs w:val="36"/>
          <w:u w:val="single"/>
        </w:rPr>
        <w:t xml:space="preserve"> (S-</w:t>
      </w:r>
      <w:r w:rsidR="00A12A3D">
        <w:rPr>
          <w:b/>
          <w:bCs/>
          <w:sz w:val="36"/>
          <w:szCs w:val="36"/>
          <w:u w:val="single"/>
        </w:rPr>
        <w:t>xxx</w:t>
      </w:r>
      <w:r w:rsidRPr="007B231B">
        <w:rPr>
          <w:b/>
          <w:bCs/>
          <w:sz w:val="36"/>
          <w:szCs w:val="36"/>
          <w:u w:val="single"/>
        </w:rPr>
        <w:t>)</w:t>
      </w:r>
    </w:p>
    <w:p w:rsidR="000C3546" w:rsidRDefault="000C3546" w:rsidP="000C3546">
      <w:pPr>
        <w:pStyle w:val="KeinLeerraum"/>
      </w:pPr>
    </w:p>
    <w:p w:rsidR="000C3546" w:rsidRDefault="000C3546" w:rsidP="000C3546">
      <w:pPr>
        <w:pStyle w:val="KeinLeerraum"/>
      </w:pPr>
      <w:r>
        <w:t>Subject:</w:t>
      </w:r>
      <w:r>
        <w:tab/>
      </w:r>
      <w:r>
        <w:tab/>
        <w:t xml:space="preserve">Marine </w:t>
      </w:r>
      <w:proofErr w:type="spellStart"/>
      <w:r>
        <w:t>Harbour</w:t>
      </w:r>
      <w:proofErr w:type="spellEnd"/>
      <w:r>
        <w:t xml:space="preserve"> Infrastructure (S-</w:t>
      </w:r>
      <w:r w:rsidR="00A12A3D">
        <w:t>xxx</w:t>
      </w:r>
      <w:r>
        <w:t>) Scoping Meeting</w:t>
      </w:r>
      <w:r w:rsidR="008535BC">
        <w:t xml:space="preserve"> #3</w:t>
      </w:r>
    </w:p>
    <w:p w:rsidR="000C3546" w:rsidRDefault="000C3546" w:rsidP="000C3546">
      <w:pPr>
        <w:pStyle w:val="KeinLeerraum"/>
      </w:pPr>
      <w:r>
        <w:t>Date:</w:t>
      </w:r>
      <w:r>
        <w:tab/>
      </w:r>
      <w:r>
        <w:tab/>
      </w:r>
      <w:r w:rsidR="008535BC">
        <w:t>22</w:t>
      </w:r>
      <w:r>
        <w:t xml:space="preserve"> </w:t>
      </w:r>
      <w:r w:rsidR="0085415A">
        <w:t>September</w:t>
      </w:r>
      <w:r>
        <w:t xml:space="preserve"> 2020</w:t>
      </w:r>
    </w:p>
    <w:p w:rsidR="000C3546" w:rsidRDefault="000C3546" w:rsidP="000C3546">
      <w:pPr>
        <w:pStyle w:val="KeinLeerraum"/>
      </w:pPr>
      <w:r>
        <w:t>Forum:</w:t>
      </w:r>
      <w:r>
        <w:tab/>
      </w:r>
      <w:r>
        <w:tab/>
        <w:t>GoToMeeting sponsored by IHO</w:t>
      </w:r>
    </w:p>
    <w:p w:rsidR="000C3546" w:rsidRPr="000A0FBB" w:rsidRDefault="000C3546" w:rsidP="000C3546">
      <w:pPr>
        <w:pStyle w:val="KeinLeerraum"/>
        <w:rPr>
          <w:color w:val="FF0000"/>
          <w:lang w:val="de-DE"/>
        </w:rPr>
      </w:pPr>
      <w:r w:rsidRPr="000A0FBB">
        <w:rPr>
          <w:lang w:val="de-DE"/>
        </w:rPr>
        <w:t>Attendees:</w:t>
      </w:r>
      <w:r w:rsidRPr="000A0FBB">
        <w:rPr>
          <w:lang w:val="de-DE"/>
        </w:rPr>
        <w:tab/>
        <w:t>Jens Schroeder-Furstenberg (BSH) (Chair)</w:t>
      </w:r>
    </w:p>
    <w:p w:rsidR="000C3546" w:rsidRPr="00D55FFB" w:rsidRDefault="000C3546" w:rsidP="000C3546">
      <w:pPr>
        <w:pStyle w:val="KeinLeerraum"/>
      </w:pPr>
      <w:r w:rsidRPr="000A0FBB">
        <w:rPr>
          <w:lang w:val="de-DE"/>
        </w:rPr>
        <w:tab/>
      </w:r>
      <w:r w:rsidRPr="000A0FBB">
        <w:rPr>
          <w:lang w:val="de-DE"/>
        </w:rPr>
        <w:tab/>
      </w:r>
      <w:proofErr w:type="spellStart"/>
      <w:r w:rsidRPr="00D55FFB">
        <w:t>Yoshitsugu</w:t>
      </w:r>
      <w:proofErr w:type="spellEnd"/>
      <w:r w:rsidRPr="00D55FFB">
        <w:t xml:space="preserve"> </w:t>
      </w:r>
      <w:proofErr w:type="spellStart"/>
      <w:r w:rsidRPr="00D55FFB">
        <w:t>Atsumi</w:t>
      </w:r>
      <w:proofErr w:type="spellEnd"/>
      <w:r w:rsidRPr="00D55FFB">
        <w:t xml:space="preserve"> (JHOD)</w:t>
      </w:r>
    </w:p>
    <w:p w:rsidR="00415CEE" w:rsidRPr="0085415A" w:rsidRDefault="00415CEE" w:rsidP="000C3546">
      <w:pPr>
        <w:pStyle w:val="KeinLeerraum"/>
      </w:pPr>
      <w:r w:rsidRPr="0085415A">
        <w:tab/>
      </w:r>
      <w:r w:rsidRPr="0085415A">
        <w:tab/>
      </w:r>
      <w:proofErr w:type="spellStart"/>
      <w:r w:rsidRPr="0085415A">
        <w:t>Michihiro</w:t>
      </w:r>
      <w:proofErr w:type="spellEnd"/>
      <w:r w:rsidR="0085415A" w:rsidRPr="0085415A">
        <w:t xml:space="preserve"> Nagao</w:t>
      </w:r>
      <w:r w:rsidRPr="0085415A">
        <w:t xml:space="preserve"> (JHOD)</w:t>
      </w:r>
    </w:p>
    <w:p w:rsidR="000C3546" w:rsidRPr="00D55FFB" w:rsidRDefault="000C3546" w:rsidP="000C3546">
      <w:pPr>
        <w:pStyle w:val="KeinLeerraum"/>
      </w:pPr>
      <w:r w:rsidRPr="008535BC">
        <w:rPr>
          <w:color w:val="FF0000"/>
        </w:rPr>
        <w:tab/>
      </w:r>
      <w:r w:rsidRPr="008535BC">
        <w:rPr>
          <w:color w:val="FF0000"/>
        </w:rPr>
        <w:tab/>
      </w:r>
      <w:bookmarkStart w:id="0" w:name="_Hlk49863860"/>
      <w:proofErr w:type="spellStart"/>
      <w:r w:rsidRPr="00D55FFB">
        <w:t>Shwu</w:t>
      </w:r>
      <w:proofErr w:type="spellEnd"/>
      <w:r w:rsidRPr="00D55FFB">
        <w:t>-Jing Chang (NTOU)</w:t>
      </w:r>
    </w:p>
    <w:bookmarkEnd w:id="0"/>
    <w:p w:rsidR="000C3546" w:rsidRPr="008535BC" w:rsidRDefault="000C3546" w:rsidP="000C3546">
      <w:pPr>
        <w:pStyle w:val="KeinLeerraum"/>
        <w:rPr>
          <w:color w:val="FF0000"/>
        </w:rPr>
      </w:pPr>
      <w:r w:rsidRPr="00D55FFB">
        <w:tab/>
      </w:r>
      <w:r w:rsidRPr="00D55FFB">
        <w:tab/>
      </w:r>
      <w:proofErr w:type="spellStart"/>
      <w:r w:rsidRPr="00D55FFB">
        <w:t>Hyunsoo</w:t>
      </w:r>
      <w:proofErr w:type="spellEnd"/>
      <w:r w:rsidRPr="00D55FFB">
        <w:t xml:space="preserve"> Choi (KRISO)</w:t>
      </w:r>
    </w:p>
    <w:p w:rsidR="00415CEE" w:rsidRPr="008535BC" w:rsidRDefault="000C3546" w:rsidP="008535BC">
      <w:pPr>
        <w:pStyle w:val="KeinLeerraum"/>
        <w:rPr>
          <w:color w:val="FF0000"/>
        </w:rPr>
      </w:pPr>
      <w:r w:rsidRPr="00415CEE">
        <w:rPr>
          <w:color w:val="FF0000"/>
        </w:rPr>
        <w:tab/>
      </w:r>
      <w:r w:rsidRPr="00415CEE">
        <w:rPr>
          <w:color w:val="FF0000"/>
        </w:rPr>
        <w:tab/>
      </w:r>
      <w:r w:rsidRPr="00415CEE">
        <w:t xml:space="preserve">Yves </w:t>
      </w:r>
      <w:proofErr w:type="spellStart"/>
      <w:r w:rsidRPr="00415CEE">
        <w:t>Guillam</w:t>
      </w:r>
      <w:proofErr w:type="spellEnd"/>
      <w:r w:rsidRPr="00415CEE">
        <w:t xml:space="preserve"> (IHO)</w:t>
      </w:r>
    </w:p>
    <w:p w:rsidR="001237F3" w:rsidRPr="000A0FBB" w:rsidRDefault="000C3546" w:rsidP="001237F3">
      <w:pPr>
        <w:pStyle w:val="KeinLeerraum"/>
        <w:rPr>
          <w:lang w:val="de-DE"/>
        </w:rPr>
      </w:pPr>
      <w:r w:rsidRPr="00415CEE">
        <w:rPr>
          <w:color w:val="FF0000"/>
        </w:rPr>
        <w:tab/>
      </w:r>
      <w:r w:rsidRPr="00415CEE">
        <w:rPr>
          <w:color w:val="FF0000"/>
        </w:rPr>
        <w:tab/>
      </w:r>
      <w:r w:rsidR="001237F3" w:rsidRPr="000A0FBB">
        <w:rPr>
          <w:lang w:val="de-DE"/>
        </w:rPr>
        <w:t>Allan Idd Jensen (DGA)</w:t>
      </w:r>
    </w:p>
    <w:p w:rsidR="001237F3" w:rsidRPr="000A0FBB" w:rsidRDefault="001237F3" w:rsidP="001237F3">
      <w:pPr>
        <w:pStyle w:val="KeinLeerraum"/>
        <w:rPr>
          <w:lang w:val="de-DE"/>
        </w:rPr>
      </w:pPr>
      <w:r w:rsidRPr="000A0FBB">
        <w:rPr>
          <w:lang w:val="de-DE"/>
        </w:rPr>
        <w:tab/>
      </w:r>
      <w:r w:rsidRPr="000A0FBB">
        <w:rPr>
          <w:lang w:val="de-DE"/>
        </w:rPr>
        <w:tab/>
        <w:t>Simon Vammen (DGA)</w:t>
      </w:r>
    </w:p>
    <w:p w:rsidR="000C3546" w:rsidRPr="00D55FFB" w:rsidRDefault="000C3546" w:rsidP="001237F3">
      <w:pPr>
        <w:pStyle w:val="KeinLeerraum"/>
        <w:ind w:left="720" w:firstLine="720"/>
      </w:pPr>
      <w:r w:rsidRPr="00D55FFB">
        <w:t xml:space="preserve">Michael </w:t>
      </w:r>
      <w:proofErr w:type="spellStart"/>
      <w:r w:rsidRPr="00D55FFB">
        <w:t>Kushla</w:t>
      </w:r>
      <w:proofErr w:type="spellEnd"/>
      <w:r w:rsidRPr="00D55FFB">
        <w:t xml:space="preserve"> (NGA)</w:t>
      </w:r>
    </w:p>
    <w:p w:rsidR="000C3546" w:rsidRPr="00D55FFB" w:rsidRDefault="000C3546" w:rsidP="000C3546">
      <w:pPr>
        <w:pStyle w:val="KeinLeerraum"/>
      </w:pPr>
      <w:r w:rsidRPr="00D55FFB">
        <w:tab/>
      </w:r>
      <w:r w:rsidRPr="00D55FFB">
        <w:tab/>
        <w:t xml:space="preserve">Thomas </w:t>
      </w:r>
      <w:proofErr w:type="spellStart"/>
      <w:r w:rsidRPr="00D55FFB">
        <w:t>Loeper</w:t>
      </w:r>
      <w:proofErr w:type="spellEnd"/>
      <w:r w:rsidRPr="00D55FFB">
        <w:t xml:space="preserve"> (NOAA)</w:t>
      </w:r>
    </w:p>
    <w:p w:rsidR="00415CEE" w:rsidRPr="00D55FFB" w:rsidRDefault="00415CEE" w:rsidP="000C3546">
      <w:pPr>
        <w:pStyle w:val="KeinLeerraum"/>
      </w:pPr>
      <w:r w:rsidRPr="00D55FFB">
        <w:tab/>
      </w:r>
      <w:r w:rsidRPr="00D55FFB">
        <w:tab/>
        <w:t>Tina Perry (NOAA)</w:t>
      </w:r>
    </w:p>
    <w:p w:rsidR="000C3546" w:rsidRPr="00D55FFB" w:rsidRDefault="000C3546" w:rsidP="000C3546">
      <w:pPr>
        <w:pStyle w:val="KeinLeerraum"/>
      </w:pPr>
      <w:r w:rsidRPr="00D55FFB">
        <w:tab/>
      </w:r>
      <w:r w:rsidRPr="00D55FFB">
        <w:tab/>
        <w:t xml:space="preserve">Raphael </w:t>
      </w:r>
      <w:proofErr w:type="spellStart"/>
      <w:r w:rsidRPr="00D55FFB">
        <w:t>Malyankar</w:t>
      </w:r>
      <w:proofErr w:type="spellEnd"/>
      <w:r w:rsidRPr="00D55FFB">
        <w:t xml:space="preserve"> (Portolan Services)</w:t>
      </w:r>
    </w:p>
    <w:p w:rsidR="000C3546" w:rsidRPr="00D55FFB" w:rsidRDefault="000C3546" w:rsidP="000C3546">
      <w:pPr>
        <w:pStyle w:val="KeinLeerraum"/>
      </w:pPr>
      <w:r w:rsidRPr="00D55FFB">
        <w:tab/>
      </w:r>
      <w:r w:rsidRPr="00D55FFB">
        <w:tab/>
      </w:r>
      <w:proofErr w:type="spellStart"/>
      <w:r w:rsidR="00415CEE" w:rsidRPr="00D55FFB">
        <w:t>Ei</w:t>
      </w:r>
      <w:r w:rsidRPr="00D55FFB">
        <w:t>vind</w:t>
      </w:r>
      <w:proofErr w:type="spellEnd"/>
      <w:r w:rsidRPr="00D55FFB">
        <w:t xml:space="preserve"> </w:t>
      </w:r>
      <w:proofErr w:type="spellStart"/>
      <w:r w:rsidRPr="00D55FFB">
        <w:t>Mong</w:t>
      </w:r>
      <w:proofErr w:type="spellEnd"/>
      <w:r w:rsidRPr="00D55FFB">
        <w:t xml:space="preserve"> (</w:t>
      </w:r>
      <w:r w:rsidR="00415CEE" w:rsidRPr="00D55FFB">
        <w:t>CHS</w:t>
      </w:r>
      <w:r w:rsidRPr="00D55FFB">
        <w:t>)</w:t>
      </w:r>
    </w:p>
    <w:p w:rsidR="00415CEE" w:rsidRPr="00D55FFB" w:rsidRDefault="00415CEE" w:rsidP="000C3546">
      <w:pPr>
        <w:pStyle w:val="KeinLeerraum"/>
      </w:pPr>
      <w:r w:rsidRPr="00D55FFB">
        <w:tab/>
      </w:r>
      <w:r w:rsidRPr="00D55FFB">
        <w:tab/>
        <w:t>Charline Gillard (CHS)</w:t>
      </w:r>
    </w:p>
    <w:p w:rsidR="000C3546" w:rsidRPr="00D55FFB" w:rsidRDefault="000C3546" w:rsidP="000C3546">
      <w:pPr>
        <w:pStyle w:val="KeinLeerraum"/>
      </w:pPr>
      <w:r w:rsidRPr="00D55FFB">
        <w:tab/>
      </w:r>
      <w:r w:rsidRPr="00D55FFB">
        <w:tab/>
      </w:r>
      <w:proofErr w:type="spellStart"/>
      <w:r w:rsidRPr="00D55FFB">
        <w:t>Svein</w:t>
      </w:r>
      <w:proofErr w:type="spellEnd"/>
      <w:r w:rsidRPr="00D55FFB">
        <w:t xml:space="preserve"> </w:t>
      </w:r>
      <w:proofErr w:type="spellStart"/>
      <w:r w:rsidRPr="00D55FFB">
        <w:t>Skjaeveland</w:t>
      </w:r>
      <w:proofErr w:type="spellEnd"/>
      <w:r w:rsidRPr="00D55FFB">
        <w:t xml:space="preserve"> (PRIMAR)</w:t>
      </w:r>
    </w:p>
    <w:p w:rsidR="00415CEE" w:rsidRPr="000A0FBB" w:rsidRDefault="000C3546" w:rsidP="00D55FFB">
      <w:pPr>
        <w:pStyle w:val="KeinLeerraum"/>
        <w:rPr>
          <w:lang w:val="de-DE"/>
        </w:rPr>
      </w:pPr>
      <w:r w:rsidRPr="00D55FFB">
        <w:tab/>
      </w:r>
      <w:r w:rsidRPr="00D55FFB">
        <w:tab/>
      </w:r>
      <w:r w:rsidRPr="000A0FBB">
        <w:rPr>
          <w:lang w:val="de-DE"/>
        </w:rPr>
        <w:t xml:space="preserve">Ben van </w:t>
      </w:r>
      <w:bookmarkStart w:id="1" w:name="_Hlk47173561"/>
      <w:r w:rsidRPr="000A0FBB">
        <w:rPr>
          <w:lang w:val="de-DE"/>
        </w:rPr>
        <w:t xml:space="preserve">Scherpenzeel </w:t>
      </w:r>
      <w:bookmarkEnd w:id="1"/>
      <w:r w:rsidRPr="000A0FBB">
        <w:rPr>
          <w:lang w:val="de-DE"/>
        </w:rPr>
        <w:t>(IHMA)</w:t>
      </w:r>
    </w:p>
    <w:p w:rsidR="00415CEE" w:rsidRPr="000A0FBB" w:rsidRDefault="00415CEE" w:rsidP="00415CEE">
      <w:pPr>
        <w:pStyle w:val="KeinLeerraum"/>
        <w:ind w:left="720" w:firstLine="720"/>
        <w:rPr>
          <w:lang w:val="de-DE"/>
        </w:rPr>
      </w:pPr>
      <w:r w:rsidRPr="000A0FBB">
        <w:rPr>
          <w:lang w:val="de-DE"/>
        </w:rPr>
        <w:t>Wilfred den Toom (Netherlands)</w:t>
      </w:r>
    </w:p>
    <w:p w:rsidR="00D55FFB" w:rsidRPr="00D55FFB" w:rsidRDefault="00D55FFB" w:rsidP="00D55FFB">
      <w:pPr>
        <w:pStyle w:val="KeinLeerraum"/>
        <w:ind w:left="720" w:firstLine="720"/>
      </w:pPr>
      <w:r w:rsidRPr="00D55FFB">
        <w:t>Elena</w:t>
      </w:r>
      <w:r w:rsidR="0085415A">
        <w:t xml:space="preserve"> Armanino</w:t>
      </w:r>
      <w:r w:rsidRPr="00D55FFB">
        <w:t xml:space="preserve"> (IHI)</w:t>
      </w:r>
    </w:p>
    <w:p w:rsidR="00D55FFB" w:rsidRPr="00D55FFB" w:rsidRDefault="00D55FFB" w:rsidP="00E81546">
      <w:pPr>
        <w:pStyle w:val="KeinLeerraum"/>
        <w:ind w:left="720" w:firstLine="720"/>
      </w:pPr>
      <w:r w:rsidRPr="00D55FFB">
        <w:t xml:space="preserve">Yves </w:t>
      </w:r>
      <w:proofErr w:type="spellStart"/>
      <w:r w:rsidRPr="00D55FFB">
        <w:t>LeFranc</w:t>
      </w:r>
      <w:proofErr w:type="spellEnd"/>
      <w:r w:rsidRPr="00D55FFB">
        <w:t xml:space="preserve"> (SHOM)</w:t>
      </w:r>
    </w:p>
    <w:p w:rsidR="00D55FFB" w:rsidRPr="00A12A3D" w:rsidRDefault="00D55FFB" w:rsidP="00E81546">
      <w:pPr>
        <w:pStyle w:val="KeinLeerraum"/>
        <w:ind w:left="720" w:firstLine="720"/>
      </w:pPr>
      <w:r w:rsidRPr="00A12A3D">
        <w:t>Jonathan Pritchard (</w:t>
      </w:r>
      <w:r w:rsidR="00A12A3D" w:rsidRPr="00A12A3D">
        <w:t>IIC</w:t>
      </w:r>
      <w:r w:rsidRPr="00A12A3D">
        <w:t>)</w:t>
      </w:r>
    </w:p>
    <w:p w:rsidR="000C3546" w:rsidRDefault="000C3546" w:rsidP="000C3546">
      <w:pPr>
        <w:pStyle w:val="KeinLeerraum"/>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0C3546" w:rsidRDefault="000C3546" w:rsidP="000C3546">
      <w:pPr>
        <w:pStyle w:val="KeinLeerraum"/>
      </w:pPr>
    </w:p>
    <w:p w:rsidR="000C3546" w:rsidRPr="00154786" w:rsidRDefault="000C3546" w:rsidP="000C3546">
      <w:pPr>
        <w:pStyle w:val="KeinLeerraum"/>
        <w:rPr>
          <w:b/>
          <w:bCs/>
          <w:sz w:val="28"/>
          <w:szCs w:val="28"/>
          <w:u w:val="single"/>
        </w:rPr>
      </w:pPr>
      <w:r w:rsidRPr="00154786">
        <w:rPr>
          <w:b/>
          <w:bCs/>
          <w:sz w:val="28"/>
          <w:szCs w:val="28"/>
          <w:u w:val="single"/>
        </w:rPr>
        <w:t>General</w:t>
      </w:r>
    </w:p>
    <w:p w:rsidR="000C3546" w:rsidRDefault="000C3546" w:rsidP="000C3546">
      <w:pPr>
        <w:pStyle w:val="KeinLeerraum"/>
      </w:pPr>
    </w:p>
    <w:p w:rsidR="00135A28" w:rsidRPr="00E87002" w:rsidRDefault="00E87002" w:rsidP="00E81546">
      <w:pPr>
        <w:pStyle w:val="KeinLeerraum"/>
        <w:ind w:firstLine="270"/>
      </w:pPr>
      <w:r w:rsidRPr="00E87002">
        <w:t>Jens thanked Jonathan Pritchard for his work on the initial Enterprise Architecture and the development of the UML schema.</w:t>
      </w:r>
    </w:p>
    <w:p w:rsidR="000C3546" w:rsidRPr="00E87002" w:rsidRDefault="00E87002" w:rsidP="00E81546">
      <w:pPr>
        <w:pStyle w:val="KeinLeerraum"/>
        <w:ind w:firstLine="270"/>
      </w:pPr>
      <w:r w:rsidRPr="00E87002">
        <w:t>The plan for today:</w:t>
      </w:r>
    </w:p>
    <w:p w:rsidR="00E87002" w:rsidRPr="00E87002" w:rsidRDefault="00E87002" w:rsidP="00E87002">
      <w:pPr>
        <w:pStyle w:val="KeinLeerraum"/>
        <w:numPr>
          <w:ilvl w:val="0"/>
          <w:numId w:val="3"/>
        </w:numPr>
      </w:pPr>
      <w:r w:rsidRPr="00E87002">
        <w:t>Final review of the spreadsheet.</w:t>
      </w:r>
    </w:p>
    <w:p w:rsidR="00E87002" w:rsidRPr="00E87002" w:rsidRDefault="00E87002" w:rsidP="00E87002">
      <w:pPr>
        <w:pStyle w:val="KeinLeerraum"/>
        <w:numPr>
          <w:ilvl w:val="0"/>
          <w:numId w:val="3"/>
        </w:numPr>
      </w:pPr>
      <w:r w:rsidRPr="00E87002">
        <w:t>PowerPoint presentation from Jonathan on the Enterprise Architecture work.</w:t>
      </w:r>
      <w:r w:rsidR="001B60EE">
        <w:t xml:space="preserve"> Jens will add the slides to the NIPWG wiki.</w:t>
      </w:r>
    </w:p>
    <w:p w:rsidR="00E87002" w:rsidRPr="00E87002" w:rsidRDefault="00E87002" w:rsidP="00E87002">
      <w:pPr>
        <w:pStyle w:val="KeinLeerraum"/>
        <w:numPr>
          <w:ilvl w:val="0"/>
          <w:numId w:val="3"/>
        </w:numPr>
      </w:pPr>
      <w:r w:rsidRPr="00E87002">
        <w:t>Round the table discussion for any final comments.</w:t>
      </w:r>
    </w:p>
    <w:p w:rsidR="000C3546" w:rsidRPr="00E87002" w:rsidRDefault="000C3546" w:rsidP="000C3546">
      <w:pPr>
        <w:pStyle w:val="KeinLeerraum"/>
        <w:rPr>
          <w:u w:val="single"/>
        </w:rPr>
      </w:pPr>
      <w:r w:rsidRPr="00E87002">
        <w:rPr>
          <w:u w:val="single"/>
        </w:rPr>
        <w:tab/>
      </w:r>
      <w:r w:rsidRPr="00E87002">
        <w:rPr>
          <w:u w:val="single"/>
        </w:rPr>
        <w:tab/>
      </w:r>
      <w:r w:rsidRPr="00E87002">
        <w:rPr>
          <w:u w:val="single"/>
        </w:rPr>
        <w:tab/>
      </w:r>
      <w:r w:rsidRPr="00E87002">
        <w:rPr>
          <w:u w:val="single"/>
        </w:rPr>
        <w:tab/>
      </w:r>
      <w:r w:rsidRPr="00E87002">
        <w:rPr>
          <w:u w:val="single"/>
        </w:rPr>
        <w:tab/>
      </w:r>
      <w:r w:rsidRPr="00E87002">
        <w:rPr>
          <w:u w:val="single"/>
        </w:rPr>
        <w:tab/>
      </w:r>
      <w:r w:rsidRPr="00E87002">
        <w:rPr>
          <w:u w:val="single"/>
        </w:rPr>
        <w:tab/>
      </w:r>
      <w:r w:rsidRPr="00E87002">
        <w:rPr>
          <w:u w:val="single"/>
        </w:rPr>
        <w:tab/>
      </w:r>
      <w:r w:rsidRPr="00E87002">
        <w:rPr>
          <w:u w:val="single"/>
        </w:rPr>
        <w:tab/>
      </w:r>
      <w:r w:rsidRPr="00E87002">
        <w:rPr>
          <w:u w:val="single"/>
        </w:rPr>
        <w:tab/>
      </w:r>
      <w:r w:rsidRPr="00E87002">
        <w:rPr>
          <w:u w:val="single"/>
        </w:rPr>
        <w:tab/>
      </w:r>
      <w:r w:rsidRPr="00E87002">
        <w:rPr>
          <w:u w:val="single"/>
        </w:rPr>
        <w:tab/>
      </w:r>
      <w:r w:rsidRPr="00E87002">
        <w:rPr>
          <w:u w:val="single"/>
        </w:rPr>
        <w:tab/>
      </w:r>
    </w:p>
    <w:p w:rsidR="004D6603" w:rsidRPr="00E87002" w:rsidRDefault="004D6603" w:rsidP="004D6603">
      <w:pPr>
        <w:pStyle w:val="KeinLeerraum"/>
      </w:pPr>
      <w:bookmarkStart w:id="2" w:name="_Hlk47173400"/>
    </w:p>
    <w:p w:rsidR="000C3546" w:rsidRPr="00E87002" w:rsidRDefault="000C3546" w:rsidP="000C3546">
      <w:pPr>
        <w:pStyle w:val="KeinLeerraum"/>
        <w:rPr>
          <w:b/>
          <w:bCs/>
          <w:sz w:val="28"/>
          <w:szCs w:val="28"/>
          <w:u w:val="single"/>
        </w:rPr>
      </w:pPr>
      <w:r w:rsidRPr="00E87002">
        <w:rPr>
          <w:b/>
          <w:bCs/>
          <w:sz w:val="28"/>
          <w:szCs w:val="28"/>
          <w:u w:val="single"/>
        </w:rPr>
        <w:t>Spreadsheet Scoping Discussion</w:t>
      </w:r>
    </w:p>
    <w:bookmarkEnd w:id="2"/>
    <w:p w:rsidR="004D6603" w:rsidRPr="003F77FB" w:rsidRDefault="004D6603" w:rsidP="001C5CE8">
      <w:pPr>
        <w:pStyle w:val="KeinLeerraum"/>
      </w:pPr>
    </w:p>
    <w:p w:rsidR="00064BB0" w:rsidRPr="00D20B3C" w:rsidRDefault="00D20B3C" w:rsidP="00D20B3C">
      <w:pPr>
        <w:pStyle w:val="KeinLeerraum"/>
        <w:ind w:firstLine="270"/>
      </w:pPr>
      <w:r w:rsidRPr="00D20B3C">
        <w:t xml:space="preserve">Final discussion centered </w:t>
      </w:r>
      <w:proofErr w:type="gramStart"/>
      <w:r w:rsidRPr="00D20B3C">
        <w:t>around</w:t>
      </w:r>
      <w:proofErr w:type="gramEnd"/>
      <w:r w:rsidRPr="00D20B3C">
        <w:t xml:space="preserve"> the spreadsheet</w:t>
      </w:r>
      <w:r w:rsidR="00064BB0" w:rsidRPr="00D20B3C">
        <w:t>.</w:t>
      </w:r>
      <w:r w:rsidRPr="00D20B3C">
        <w:t xml:space="preserve"> </w:t>
      </w:r>
      <w:r w:rsidR="00064BB0" w:rsidRPr="00D20B3C">
        <w:t xml:space="preserve">The group </w:t>
      </w:r>
      <w:r w:rsidR="00107110" w:rsidRPr="00D20B3C">
        <w:t>continued with</w:t>
      </w:r>
      <w:r w:rsidR="00064BB0" w:rsidRPr="00D20B3C">
        <w:t xml:space="preserve"> a </w:t>
      </w:r>
      <w:proofErr w:type="gramStart"/>
      <w:r w:rsidR="00064BB0" w:rsidRPr="00D20B3C">
        <w:t>line by line</w:t>
      </w:r>
      <w:proofErr w:type="gramEnd"/>
      <w:r w:rsidR="00064BB0" w:rsidRPr="00D20B3C">
        <w:t xml:space="preserve"> review of </w:t>
      </w:r>
      <w:r w:rsidR="00107110" w:rsidRPr="00D20B3C">
        <w:t>the</w:t>
      </w:r>
      <w:r w:rsidR="00064BB0" w:rsidRPr="00D20B3C">
        <w:t xml:space="preserve"> Feature</w:t>
      </w:r>
      <w:r w:rsidR="00107110" w:rsidRPr="00D20B3C">
        <w:t>s/Attributes</w:t>
      </w:r>
      <w:r w:rsidR="00064BB0" w:rsidRPr="00D20B3C">
        <w:t xml:space="preserve"> listed in the spreadsheet</w:t>
      </w:r>
      <w:r>
        <w:t>:</w:t>
      </w:r>
    </w:p>
    <w:p w:rsidR="00A12A3D" w:rsidRDefault="00562838" w:rsidP="00562838">
      <w:pPr>
        <w:pStyle w:val="KeinLeerraum"/>
        <w:numPr>
          <w:ilvl w:val="0"/>
          <w:numId w:val="2"/>
        </w:numPr>
        <w:tabs>
          <w:tab w:val="left" w:pos="2070"/>
        </w:tabs>
      </w:pPr>
      <w:r w:rsidRPr="0011317F">
        <w:t>Port</w:t>
      </w:r>
      <w:r w:rsidR="006B1234" w:rsidRPr="0011317F">
        <w:t xml:space="preserve"> Area</w:t>
      </w:r>
      <w:r w:rsidR="0011317F" w:rsidRPr="0011317F">
        <w:t>/</w:t>
      </w:r>
      <w:proofErr w:type="spellStart"/>
      <w:r w:rsidR="0011317F" w:rsidRPr="0011317F">
        <w:t>Harbour</w:t>
      </w:r>
      <w:proofErr w:type="spellEnd"/>
      <w:r w:rsidR="0011317F" w:rsidRPr="0011317F">
        <w:t xml:space="preserve"> Area</w:t>
      </w:r>
      <w:r w:rsidR="00364A55">
        <w:t>—</w:t>
      </w:r>
      <w:r w:rsidR="00A12A3D">
        <w:t>S-101 features. Certain additional f</w:t>
      </w:r>
      <w:r w:rsidR="00364A55">
        <w:t>eature attributes can come from IMO Blue Code and S-32. AIS could help identify</w:t>
      </w:r>
      <w:r w:rsidR="00A12A3D">
        <w:t xml:space="preserve"> the main purpose of</w:t>
      </w:r>
      <w:r w:rsidR="00364A55">
        <w:t xml:space="preserve"> facilities. It may also be useful at the highest level of architecture.</w:t>
      </w:r>
    </w:p>
    <w:p w:rsidR="0011317F" w:rsidRPr="00A12A3D" w:rsidRDefault="0011317F" w:rsidP="00562838">
      <w:pPr>
        <w:pStyle w:val="KeinLeerraum"/>
        <w:numPr>
          <w:ilvl w:val="0"/>
          <w:numId w:val="2"/>
        </w:numPr>
        <w:tabs>
          <w:tab w:val="left" w:pos="2070"/>
        </w:tabs>
      </w:pPr>
      <w:r w:rsidRPr="00A12A3D">
        <w:t>Limiting Conditions</w:t>
      </w:r>
      <w:r w:rsidR="000116DC" w:rsidRPr="00A12A3D">
        <w:t>—</w:t>
      </w:r>
      <w:proofErr w:type="gramStart"/>
      <w:r w:rsidR="00A12A3D">
        <w:t>Could</w:t>
      </w:r>
      <w:proofErr w:type="gramEnd"/>
      <w:r w:rsidR="00A12A3D">
        <w:t xml:space="preserve"> be either an enumeration or text attribute</w:t>
      </w:r>
      <w:r w:rsidR="000116DC" w:rsidRPr="00A12A3D">
        <w:t xml:space="preserve">. </w:t>
      </w:r>
      <w:r w:rsidR="00A12A3D">
        <w:t>The challenge of an enumeration is that the list can be endless but still incomplete. Text offers more flexibility.</w:t>
      </w:r>
    </w:p>
    <w:p w:rsidR="00364A55" w:rsidRPr="00364A55" w:rsidRDefault="00364A55" w:rsidP="00364A55">
      <w:pPr>
        <w:pStyle w:val="KeinLeerraum"/>
        <w:ind w:left="720"/>
        <w:rPr>
          <w:color w:val="FF0000"/>
          <w:sz w:val="16"/>
          <w:szCs w:val="16"/>
        </w:rPr>
      </w:pPr>
    </w:p>
    <w:p w:rsidR="00562838" w:rsidRPr="000116DC" w:rsidRDefault="00E101FD" w:rsidP="00562838">
      <w:pPr>
        <w:pStyle w:val="KeinLeerraum"/>
        <w:numPr>
          <w:ilvl w:val="0"/>
          <w:numId w:val="2"/>
        </w:numPr>
      </w:pPr>
      <w:r w:rsidRPr="000116DC">
        <w:t>Social/Political items—</w:t>
      </w:r>
      <w:r w:rsidR="00A12A3D">
        <w:t xml:space="preserve">Selected </w:t>
      </w:r>
      <w:proofErr w:type="gramStart"/>
      <w:r w:rsidR="00A12A3D">
        <w:t>initially-discussed</w:t>
      </w:r>
      <w:proofErr w:type="gramEnd"/>
      <w:r w:rsidR="00A12A3D">
        <w:t xml:space="preserve"> items (SNPWG scope) are incorporated</w:t>
      </w:r>
      <w:r w:rsidR="00C32F47" w:rsidRPr="000116DC">
        <w:t>.</w:t>
      </w:r>
    </w:p>
    <w:p w:rsidR="00562838" w:rsidRPr="0011317F" w:rsidRDefault="0011317F" w:rsidP="00562838">
      <w:pPr>
        <w:pStyle w:val="KeinLeerraum"/>
        <w:numPr>
          <w:ilvl w:val="0"/>
          <w:numId w:val="2"/>
        </w:numPr>
      </w:pPr>
      <w:r w:rsidRPr="0011317F">
        <w:t>Anchorage Areas—S-101</w:t>
      </w:r>
      <w:r w:rsidR="00A12A3D">
        <w:t xml:space="preserve"> feature with additional NPUB information class features</w:t>
      </w:r>
      <w:r w:rsidR="00E101FD" w:rsidRPr="0011317F">
        <w:t>.</w:t>
      </w:r>
    </w:p>
    <w:p w:rsidR="00E101FD" w:rsidRPr="0011317F" w:rsidRDefault="0011317F" w:rsidP="00562838">
      <w:pPr>
        <w:pStyle w:val="KeinLeerraum"/>
        <w:numPr>
          <w:ilvl w:val="0"/>
          <w:numId w:val="2"/>
        </w:numPr>
      </w:pPr>
      <w:r w:rsidRPr="0011317F">
        <w:t>Port Section (Line 160)</w:t>
      </w:r>
      <w:r w:rsidR="00E101FD" w:rsidRPr="0011317F">
        <w:t>—</w:t>
      </w:r>
      <w:r w:rsidRPr="0011317F">
        <w:t>Definitions might be useful.</w:t>
      </w:r>
    </w:p>
    <w:p w:rsidR="00E101FD" w:rsidRDefault="00E101FD" w:rsidP="00562838">
      <w:pPr>
        <w:pStyle w:val="KeinLeerraum"/>
        <w:numPr>
          <w:ilvl w:val="0"/>
          <w:numId w:val="2"/>
        </w:numPr>
      </w:pPr>
      <w:r w:rsidRPr="0011317F">
        <w:t>Terminal—</w:t>
      </w:r>
      <w:r w:rsidR="0011317F" w:rsidRPr="0011317F">
        <w:t>Proposal from NTOU added URLs/MRNs. IMHA wants a more globally unique identification number</w:t>
      </w:r>
      <w:r w:rsidRPr="0011317F">
        <w:t>.</w:t>
      </w:r>
      <w:r w:rsidR="00102585">
        <w:t xml:space="preserve"> Additional </w:t>
      </w:r>
      <w:proofErr w:type="spellStart"/>
      <w:r w:rsidR="00102585">
        <w:t>proposaql</w:t>
      </w:r>
      <w:proofErr w:type="spellEnd"/>
      <w:r w:rsidR="00102585">
        <w:t xml:space="preserve"> from IIC to combine all identifier attributes in a complex attribute. The information flow would be:</w:t>
      </w:r>
    </w:p>
    <w:p w:rsidR="00102585" w:rsidRDefault="00102585" w:rsidP="00102585">
      <w:pPr>
        <w:pStyle w:val="KeinLeerraum"/>
      </w:pPr>
    </w:p>
    <w:p w:rsidR="00102585" w:rsidRPr="00102585" w:rsidRDefault="00102585" w:rsidP="00102585">
      <w:pPr>
        <w:pStyle w:val="KeinLeerraum"/>
        <w:jc w:val="center"/>
        <w:rPr>
          <w:sz w:val="28"/>
          <w:szCs w:val="28"/>
        </w:rPr>
      </w:pPr>
      <w:proofErr w:type="spellStart"/>
      <w:r w:rsidRPr="00102585">
        <w:rPr>
          <w:sz w:val="28"/>
          <w:szCs w:val="28"/>
        </w:rPr>
        <w:t>Harbour</w:t>
      </w:r>
      <w:proofErr w:type="spellEnd"/>
      <w:r w:rsidRPr="00102585">
        <w:rPr>
          <w:sz w:val="28"/>
          <w:szCs w:val="28"/>
        </w:rPr>
        <w:t xml:space="preserve"> (</w:t>
      </w:r>
      <w:proofErr w:type="spellStart"/>
      <w:r w:rsidRPr="00102585">
        <w:rPr>
          <w:sz w:val="28"/>
          <w:szCs w:val="28"/>
        </w:rPr>
        <w:t>Harbour</w:t>
      </w:r>
      <w:proofErr w:type="spellEnd"/>
      <w:r>
        <w:rPr>
          <w:sz w:val="28"/>
          <w:szCs w:val="28"/>
        </w:rPr>
        <w:t>-</w:t>
      </w:r>
      <w:r w:rsidRPr="00102585">
        <w:rPr>
          <w:sz w:val="28"/>
          <w:szCs w:val="28"/>
        </w:rPr>
        <w:t xml:space="preserve">specific IDs) </w:t>
      </w:r>
      <w:r w:rsidRPr="00102585">
        <w:rPr>
          <w:rFonts w:cstheme="minorHAnsi"/>
          <w:sz w:val="28"/>
          <w:szCs w:val="28"/>
        </w:rPr>
        <w:t xml:space="preserve">→ </w:t>
      </w:r>
      <w:r w:rsidRPr="00102585">
        <w:rPr>
          <w:sz w:val="28"/>
          <w:szCs w:val="28"/>
        </w:rPr>
        <w:t xml:space="preserve">Converter </w:t>
      </w:r>
      <w:r w:rsidRPr="00102585">
        <w:rPr>
          <w:rFonts w:cstheme="minorHAnsi"/>
          <w:sz w:val="28"/>
          <w:szCs w:val="28"/>
        </w:rPr>
        <w:t xml:space="preserve">→ </w:t>
      </w:r>
      <w:r w:rsidRPr="00102585">
        <w:rPr>
          <w:sz w:val="28"/>
          <w:szCs w:val="28"/>
        </w:rPr>
        <w:t xml:space="preserve">HOs (MRNs) </w:t>
      </w:r>
      <w:r w:rsidRPr="00102585">
        <w:rPr>
          <w:rFonts w:cstheme="minorHAnsi"/>
          <w:sz w:val="28"/>
          <w:szCs w:val="28"/>
        </w:rPr>
        <w:t xml:space="preserve">→ </w:t>
      </w:r>
      <w:r w:rsidRPr="00102585">
        <w:rPr>
          <w:sz w:val="28"/>
          <w:szCs w:val="28"/>
        </w:rPr>
        <w:t xml:space="preserve">Converter </w:t>
      </w:r>
      <w:r w:rsidRPr="00102585">
        <w:rPr>
          <w:rFonts w:cstheme="minorHAnsi"/>
          <w:sz w:val="28"/>
          <w:szCs w:val="28"/>
        </w:rPr>
        <w:t>→</w:t>
      </w:r>
      <w:r w:rsidRPr="00102585">
        <w:rPr>
          <w:sz w:val="28"/>
          <w:szCs w:val="28"/>
        </w:rPr>
        <w:t xml:space="preserve"> ECDIS</w:t>
      </w:r>
      <w:r>
        <w:rPr>
          <w:sz w:val="28"/>
          <w:szCs w:val="28"/>
        </w:rPr>
        <w:t xml:space="preserve"> </w:t>
      </w:r>
      <w:r w:rsidRPr="00102585">
        <w:rPr>
          <w:sz w:val="28"/>
          <w:szCs w:val="28"/>
        </w:rPr>
        <w:t>(</w:t>
      </w:r>
      <w:proofErr w:type="spellStart"/>
      <w:r w:rsidRPr="00102585">
        <w:rPr>
          <w:sz w:val="28"/>
          <w:szCs w:val="28"/>
        </w:rPr>
        <w:t>Harbour</w:t>
      </w:r>
      <w:proofErr w:type="spellEnd"/>
      <w:r w:rsidRPr="00102585">
        <w:rPr>
          <w:sz w:val="28"/>
          <w:szCs w:val="28"/>
        </w:rPr>
        <w:t>-specific IDs)</w:t>
      </w:r>
    </w:p>
    <w:p w:rsidR="00102585" w:rsidRDefault="00102585" w:rsidP="00102585">
      <w:pPr>
        <w:pStyle w:val="KeinLeerraum"/>
      </w:pPr>
    </w:p>
    <w:p w:rsidR="00E83294" w:rsidRPr="00102585" w:rsidRDefault="00102585" w:rsidP="00102585">
      <w:pPr>
        <w:pStyle w:val="KeinLeerraum"/>
        <w:ind w:left="720"/>
      </w:pPr>
      <w:r>
        <w:t xml:space="preserve">The conversion to Hos MRNs </w:t>
      </w:r>
      <w:proofErr w:type="gramStart"/>
      <w:r>
        <w:t>is needed</w:t>
      </w:r>
      <w:proofErr w:type="gramEnd"/>
      <w:r>
        <w:t xml:space="preserve"> for interoperability.</w:t>
      </w:r>
    </w:p>
    <w:p w:rsidR="002A5EF3" w:rsidRPr="000116DC" w:rsidRDefault="0011317F" w:rsidP="000116DC">
      <w:pPr>
        <w:pStyle w:val="KeinLeerraum"/>
        <w:numPr>
          <w:ilvl w:val="0"/>
          <w:numId w:val="2"/>
        </w:numPr>
      </w:pPr>
      <w:r w:rsidRPr="0011317F">
        <w:t>Harbor Facilities</w:t>
      </w:r>
      <w:r w:rsidR="002A5EF3" w:rsidRPr="0011317F">
        <w:t>—</w:t>
      </w:r>
      <w:r w:rsidRPr="0011317F">
        <w:t>Covered in S-101</w:t>
      </w:r>
      <w:r w:rsidR="00A12A3D">
        <w:t>.</w:t>
      </w:r>
      <w:r w:rsidRPr="0011317F">
        <w:t xml:space="preserve"> Need Port Facility Numbers from the IMO</w:t>
      </w:r>
      <w:r w:rsidR="00A12A3D">
        <w:t xml:space="preserve">. </w:t>
      </w:r>
      <w:proofErr w:type="gramStart"/>
      <w:r w:rsidR="00A12A3D">
        <w:t>Also</w:t>
      </w:r>
      <w:proofErr w:type="gramEnd"/>
      <w:r w:rsidR="00A12A3D">
        <w:t xml:space="preserve"> see Point 6 above.</w:t>
      </w:r>
    </w:p>
    <w:p w:rsidR="002A5EF3" w:rsidRPr="000116DC" w:rsidRDefault="002A5EF3" w:rsidP="00562838">
      <w:pPr>
        <w:pStyle w:val="KeinLeerraum"/>
        <w:numPr>
          <w:ilvl w:val="0"/>
          <w:numId w:val="2"/>
        </w:numPr>
      </w:pPr>
      <w:r w:rsidRPr="000116DC">
        <w:t>Mooring Facilities</w:t>
      </w:r>
      <w:r w:rsidR="00A12A3D">
        <w:t>—</w:t>
      </w:r>
      <w:r w:rsidR="000116DC" w:rsidRPr="000116DC">
        <w:t>Add Breasting Dolphin (?), Quick Release Hook, and Mooring Dolphin</w:t>
      </w:r>
      <w:r w:rsidR="00A12A3D">
        <w:t xml:space="preserve"> as </w:t>
      </w:r>
      <w:proofErr w:type="spellStart"/>
      <w:r w:rsidR="00A12A3D">
        <w:t>categoryOfMooringFacilities</w:t>
      </w:r>
      <w:proofErr w:type="spellEnd"/>
      <w:r w:rsidR="00A12A3D">
        <w:t xml:space="preserve"> values</w:t>
      </w:r>
      <w:r w:rsidR="000116DC" w:rsidRPr="000116DC">
        <w:t>.</w:t>
      </w:r>
    </w:p>
    <w:p w:rsidR="009D49B6" w:rsidRPr="00A12A3D" w:rsidRDefault="002A5EF3" w:rsidP="00A12A3D">
      <w:pPr>
        <w:pStyle w:val="KeinLeerraum"/>
        <w:numPr>
          <w:ilvl w:val="0"/>
          <w:numId w:val="2"/>
        </w:numPr>
      </w:pPr>
      <w:r w:rsidRPr="000116DC">
        <w:t>Pilot Boarding Place</w:t>
      </w:r>
      <w:r w:rsidR="000116DC" w:rsidRPr="000116DC">
        <w:t>—Covered in principle by S-127.</w:t>
      </w:r>
    </w:p>
    <w:p w:rsidR="009D49B6" w:rsidRPr="00A12A3D" w:rsidRDefault="000116DC" w:rsidP="00A12A3D">
      <w:pPr>
        <w:pStyle w:val="KeinLeerraum"/>
        <w:numPr>
          <w:ilvl w:val="0"/>
          <w:numId w:val="2"/>
        </w:numPr>
      </w:pPr>
      <w:r w:rsidRPr="00A12A3D">
        <w:t>Emergency Coordination Center</w:t>
      </w:r>
      <w:r w:rsidR="009D49B6" w:rsidRPr="00A12A3D">
        <w:t>—</w:t>
      </w:r>
      <w:r w:rsidR="00A12A3D" w:rsidRPr="00A12A3D">
        <w:t>Basic information to be provided.</w:t>
      </w:r>
    </w:p>
    <w:p w:rsidR="000116DC" w:rsidRDefault="000116DC" w:rsidP="00562838">
      <w:pPr>
        <w:pStyle w:val="KeinLeerraum"/>
        <w:numPr>
          <w:ilvl w:val="0"/>
          <w:numId w:val="2"/>
        </w:numPr>
      </w:pPr>
      <w:r>
        <w:t>Types of cranes (mobile, fixed, etc.)—Discussion of two use categories of cranes:</w:t>
      </w:r>
    </w:p>
    <w:p w:rsidR="000116DC" w:rsidRDefault="000116DC" w:rsidP="000116DC">
      <w:pPr>
        <w:pStyle w:val="KeinLeerraum"/>
        <w:numPr>
          <w:ilvl w:val="1"/>
          <w:numId w:val="2"/>
        </w:numPr>
      </w:pPr>
      <w:r>
        <w:t xml:space="preserve">Ship services—available to entire port to any ship (example—lifting a new radar to the mast). </w:t>
      </w:r>
      <w:r w:rsidR="00A12A3D">
        <w:t>To be added to harbor area/port area.</w:t>
      </w:r>
    </w:p>
    <w:p w:rsidR="000116DC" w:rsidRDefault="000116DC" w:rsidP="000116DC">
      <w:pPr>
        <w:pStyle w:val="KeinLeerraum"/>
        <w:numPr>
          <w:ilvl w:val="1"/>
          <w:numId w:val="2"/>
        </w:numPr>
      </w:pPr>
      <w:r>
        <w:t>Cargo services—Linked to a specific port facility.</w:t>
      </w:r>
      <w:r w:rsidR="00A12A3D">
        <w:t xml:space="preserve"> Keep for future versions of product specifications.</w:t>
      </w:r>
    </w:p>
    <w:p w:rsidR="00F363F7" w:rsidRPr="00A12A3D" w:rsidRDefault="000116DC" w:rsidP="00A12A3D">
      <w:pPr>
        <w:pStyle w:val="KeinLeerraum"/>
        <w:ind w:left="720"/>
      </w:pPr>
      <w:r w:rsidRPr="000116DC">
        <w:rPr>
          <w:b/>
          <w:bCs/>
        </w:rPr>
        <w:t>Note.—</w:t>
      </w:r>
      <w:r>
        <w:t>Tabled for now.</w:t>
      </w:r>
    </w:p>
    <w:p w:rsidR="00FC3ABB" w:rsidRDefault="00FC3ABB" w:rsidP="00FC3ABB">
      <w:pPr>
        <w:pStyle w:val="KeinLeerraum"/>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FC3ABB" w:rsidRDefault="00FC3ABB" w:rsidP="00FC3ABB">
      <w:pPr>
        <w:pStyle w:val="KeinLeerraum"/>
        <w:ind w:left="720"/>
      </w:pPr>
    </w:p>
    <w:p w:rsidR="006B1234" w:rsidRDefault="0088454E" w:rsidP="00524C69">
      <w:r>
        <w:rPr>
          <w:b/>
          <w:bCs/>
          <w:sz w:val="28"/>
          <w:szCs w:val="28"/>
          <w:u w:val="single"/>
        </w:rPr>
        <w:t>Final Spreadsheet</w:t>
      </w:r>
      <w:r w:rsidR="00BC3B08">
        <w:rPr>
          <w:b/>
          <w:bCs/>
          <w:sz w:val="28"/>
          <w:szCs w:val="28"/>
          <w:u w:val="single"/>
        </w:rPr>
        <w:t xml:space="preserve"> Comments</w:t>
      </w:r>
    </w:p>
    <w:p w:rsidR="00BC3B08" w:rsidRPr="00135E56" w:rsidRDefault="00135E56" w:rsidP="00E81546">
      <w:pPr>
        <w:pStyle w:val="KeinLeerraum"/>
        <w:ind w:firstLine="270"/>
      </w:pPr>
      <w:r w:rsidRPr="00135E56">
        <w:t>Jens—</w:t>
      </w:r>
      <w:proofErr w:type="gramStart"/>
      <w:r w:rsidRPr="00135E56">
        <w:t>The</w:t>
      </w:r>
      <w:proofErr w:type="gramEnd"/>
      <w:r w:rsidRPr="00135E56">
        <w:t xml:space="preserve"> scoping discussion is complete but is it enough to proceed ahead? </w:t>
      </w:r>
      <w:proofErr w:type="spellStart"/>
      <w:r w:rsidRPr="00135E56">
        <w:t>Eivind</w:t>
      </w:r>
      <w:proofErr w:type="spellEnd"/>
      <w:r w:rsidRPr="00135E56">
        <w:t xml:space="preserve">, Raphael, and Johnathan say </w:t>
      </w:r>
      <w:proofErr w:type="gramStart"/>
      <w:r w:rsidRPr="00135E56">
        <w:t>Yes</w:t>
      </w:r>
      <w:proofErr w:type="gramEnd"/>
      <w:r w:rsidRPr="00135E56">
        <w:t>.</w:t>
      </w:r>
    </w:p>
    <w:p w:rsidR="00135E56" w:rsidRDefault="00135E56" w:rsidP="00135E56">
      <w:pPr>
        <w:pStyle w:val="KeinLeerraum"/>
        <w:ind w:firstLine="270"/>
      </w:pPr>
      <w:r>
        <w:t xml:space="preserve">The following need to </w:t>
      </w:r>
      <w:proofErr w:type="gramStart"/>
      <w:r>
        <w:t>be taken</w:t>
      </w:r>
      <w:proofErr w:type="gramEnd"/>
      <w:r>
        <w:t xml:space="preserve"> into account:</w:t>
      </w:r>
    </w:p>
    <w:p w:rsidR="00135E56" w:rsidRDefault="00135E56" w:rsidP="00135E56">
      <w:pPr>
        <w:pStyle w:val="KeinLeerraum"/>
        <w:numPr>
          <w:ilvl w:val="0"/>
          <w:numId w:val="4"/>
        </w:numPr>
      </w:pPr>
      <w:r>
        <w:t>Need for more and better definitions of terms</w:t>
      </w:r>
    </w:p>
    <w:p w:rsidR="00135E56" w:rsidRDefault="00135E56" w:rsidP="00135E56">
      <w:pPr>
        <w:pStyle w:val="KeinLeerraum"/>
        <w:numPr>
          <w:ilvl w:val="0"/>
          <w:numId w:val="4"/>
        </w:numPr>
      </w:pPr>
      <w:r>
        <w:t>Can build on the application schema with more details from NIPWG.</w:t>
      </w:r>
    </w:p>
    <w:p w:rsidR="00135E56" w:rsidRDefault="00135E56" w:rsidP="00135E56">
      <w:pPr>
        <w:pStyle w:val="KeinLeerraum"/>
        <w:numPr>
          <w:ilvl w:val="0"/>
          <w:numId w:val="4"/>
        </w:numPr>
      </w:pPr>
      <w:r>
        <w:t>Need to develop a Justification and Impact Statement.</w:t>
      </w:r>
    </w:p>
    <w:p w:rsidR="00135E56" w:rsidRDefault="00135E56" w:rsidP="00135E56">
      <w:pPr>
        <w:pStyle w:val="KeinLeerraum"/>
        <w:numPr>
          <w:ilvl w:val="0"/>
          <w:numId w:val="4"/>
        </w:numPr>
      </w:pPr>
      <w:r>
        <w:t>Costs—Money, time, and personnel?</w:t>
      </w:r>
    </w:p>
    <w:p w:rsidR="00135E56" w:rsidRDefault="00135E56" w:rsidP="00135E56">
      <w:pPr>
        <w:pStyle w:val="KeinLeerraum"/>
        <w:ind w:firstLine="270"/>
      </w:pPr>
      <w:r>
        <w:t>Tom—</w:t>
      </w:r>
      <w:proofErr w:type="gramStart"/>
      <w:r>
        <w:t>This</w:t>
      </w:r>
      <w:proofErr w:type="gramEnd"/>
      <w:r>
        <w:t xml:space="preserve"> is a very complex work and is more than initially envisioned. Is this really in our “wheelhouse?”</w:t>
      </w:r>
    </w:p>
    <w:p w:rsidR="00CC547C" w:rsidRDefault="00CC547C" w:rsidP="00135E56">
      <w:pPr>
        <w:pStyle w:val="KeinLeerraum"/>
        <w:ind w:firstLine="270"/>
      </w:pPr>
      <w:r>
        <w:t>Ben—Emphasized ports will provided information needed, either electronically or in other formats.</w:t>
      </w:r>
    </w:p>
    <w:p w:rsidR="00451829" w:rsidRDefault="00451829" w:rsidP="00451829">
      <w:pPr>
        <w:pStyle w:val="KeinLeerraum"/>
        <w:rPr>
          <w:u w:val="single"/>
        </w:rPr>
      </w:pP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rsidR="001B60EE" w:rsidRDefault="001B60EE" w:rsidP="00451829">
      <w:pPr>
        <w:pStyle w:val="KeinLeerraum"/>
      </w:pPr>
    </w:p>
    <w:p w:rsidR="005318EB" w:rsidRPr="006B1234" w:rsidRDefault="005318EB" w:rsidP="005318EB">
      <w:pPr>
        <w:pStyle w:val="KeinLeerraum"/>
        <w:rPr>
          <w:b/>
          <w:bCs/>
          <w:sz w:val="28"/>
          <w:szCs w:val="28"/>
          <w:u w:val="single"/>
        </w:rPr>
      </w:pPr>
      <w:r>
        <w:rPr>
          <w:b/>
          <w:bCs/>
          <w:sz w:val="28"/>
          <w:szCs w:val="28"/>
          <w:u w:val="single"/>
        </w:rPr>
        <w:t xml:space="preserve">Closing </w:t>
      </w:r>
      <w:r w:rsidR="0088454E">
        <w:rPr>
          <w:b/>
          <w:bCs/>
          <w:sz w:val="28"/>
          <w:szCs w:val="28"/>
          <w:u w:val="single"/>
        </w:rPr>
        <w:t xml:space="preserve">(Round the Table) </w:t>
      </w:r>
      <w:r>
        <w:rPr>
          <w:b/>
          <w:bCs/>
          <w:sz w:val="28"/>
          <w:szCs w:val="28"/>
          <w:u w:val="single"/>
        </w:rPr>
        <w:t>Comments</w:t>
      </w:r>
    </w:p>
    <w:p w:rsidR="005318EB" w:rsidRDefault="005318EB" w:rsidP="005318EB">
      <w:pPr>
        <w:pStyle w:val="KeinLeerraum"/>
      </w:pPr>
    </w:p>
    <w:p w:rsidR="00BC3B08" w:rsidRDefault="0088454E" w:rsidP="0088454E">
      <w:pPr>
        <w:pStyle w:val="KeinLeerraum"/>
        <w:ind w:firstLine="270"/>
      </w:pPr>
      <w:proofErr w:type="spellStart"/>
      <w:r>
        <w:t>Eivind</w:t>
      </w:r>
      <w:proofErr w:type="spellEnd"/>
      <w:r>
        <w:t>/Raphael—Ready for the next stage, but still a long process with lots of work left to do.</w:t>
      </w:r>
    </w:p>
    <w:p w:rsidR="0088454E" w:rsidRDefault="0088454E" w:rsidP="0088454E">
      <w:pPr>
        <w:pStyle w:val="KeinLeerraum"/>
        <w:ind w:firstLine="270"/>
      </w:pPr>
      <w:r>
        <w:t xml:space="preserve">Yves (IHO)—Informed group that the designation S-130 </w:t>
      </w:r>
      <w:proofErr w:type="gramStart"/>
      <w:r>
        <w:t>has been officially assigned</w:t>
      </w:r>
      <w:proofErr w:type="gramEnd"/>
      <w:r>
        <w:t xml:space="preserve"> to another group. NIPWG would need to get an </w:t>
      </w:r>
      <w:proofErr w:type="gramStart"/>
      <w:r>
        <w:t>officially-assigned</w:t>
      </w:r>
      <w:proofErr w:type="gramEnd"/>
      <w:r>
        <w:t xml:space="preserve"> number for the Marine </w:t>
      </w:r>
      <w:proofErr w:type="spellStart"/>
      <w:r>
        <w:t>Harbour</w:t>
      </w:r>
      <w:proofErr w:type="spellEnd"/>
      <w:r>
        <w:t xml:space="preserve"> Infrastructure standard.</w:t>
      </w:r>
    </w:p>
    <w:p w:rsidR="0088454E" w:rsidRDefault="0088454E" w:rsidP="0088454E">
      <w:pPr>
        <w:pStyle w:val="KeinLeerraum"/>
        <w:ind w:firstLine="270"/>
      </w:pPr>
      <w:r>
        <w:t>Elena (IHI)—</w:t>
      </w:r>
      <w:proofErr w:type="gramStart"/>
      <w:r>
        <w:t>Discussed  the</w:t>
      </w:r>
      <w:proofErr w:type="gramEnd"/>
      <w:r>
        <w:t xml:space="preserve"> “small harbor plans” currently in the Italian </w:t>
      </w:r>
      <w:proofErr w:type="spellStart"/>
      <w:r>
        <w:t>Portolanos</w:t>
      </w:r>
      <w:proofErr w:type="spellEnd"/>
      <w:r>
        <w:t xml:space="preserve"> (containing port services information) and how the new Product Specification will affect the plans. Jens stated </w:t>
      </w:r>
      <w:proofErr w:type="gramStart"/>
      <w:r>
        <w:t xml:space="preserve">this would </w:t>
      </w:r>
      <w:r w:rsidR="00CC547C">
        <w:t>be the ENC chart base enhanced with</w:t>
      </w:r>
      <w:r>
        <w:t xml:space="preserve"> </w:t>
      </w:r>
      <w:r w:rsidR="00CC547C">
        <w:t>S-1xx data</w:t>
      </w:r>
      <w:r>
        <w:t xml:space="preserve"> and would appear on top of the chart (as a new layer?)</w:t>
      </w:r>
      <w:proofErr w:type="gramEnd"/>
      <w:r>
        <w:t>.</w:t>
      </w:r>
    </w:p>
    <w:p w:rsidR="00DA7192" w:rsidRDefault="00DA7192" w:rsidP="0088454E">
      <w:pPr>
        <w:pStyle w:val="KeinLeerraum"/>
        <w:ind w:firstLine="270"/>
      </w:pPr>
    </w:p>
    <w:p w:rsidR="0088454E" w:rsidRDefault="0088454E" w:rsidP="0088454E">
      <w:pPr>
        <w:pStyle w:val="KeinLeerraum"/>
        <w:ind w:firstLine="270"/>
      </w:pPr>
      <w:r>
        <w:t>Tom (NOAA)—</w:t>
      </w:r>
      <w:proofErr w:type="gramStart"/>
      <w:r>
        <w:t>Agreed</w:t>
      </w:r>
      <w:proofErr w:type="gramEnd"/>
      <w:r>
        <w:t xml:space="preserve"> with Ben’s statement that larger ports would be taking the lead on using the IHMA Port Information Manual (PIM). It would be very useful for new ports. Smaller ports would only be adding the information that applies to them.</w:t>
      </w:r>
    </w:p>
    <w:p w:rsidR="00DA7192" w:rsidRDefault="00DA7192" w:rsidP="0088454E">
      <w:pPr>
        <w:pStyle w:val="KeinLeerraum"/>
        <w:ind w:firstLine="270"/>
      </w:pPr>
      <w:r>
        <w:t>We could make the Product Specifications a provisional item and have them reviewed by the IHMA.</w:t>
      </w:r>
    </w:p>
    <w:p w:rsidR="00DA7192" w:rsidRDefault="00DA7192" w:rsidP="0088454E">
      <w:pPr>
        <w:pStyle w:val="KeinLeerraum"/>
        <w:ind w:firstLine="270"/>
      </w:pPr>
    </w:p>
    <w:p w:rsidR="00DA7192" w:rsidRDefault="00DA7192" w:rsidP="0088454E">
      <w:pPr>
        <w:pStyle w:val="KeinLeerraum"/>
        <w:ind w:firstLine="270"/>
      </w:pPr>
      <w:r>
        <w:t>Jens (BSH)—The IMHA Port Information Manual is only one source. Others are Sailing Directions, Radio Aids, etc.</w:t>
      </w:r>
    </w:p>
    <w:p w:rsidR="00154786" w:rsidRPr="007B231B" w:rsidRDefault="00154786" w:rsidP="00B47F95">
      <w:pPr>
        <w:pStyle w:val="KeinLeerraum"/>
      </w:pPr>
    </w:p>
    <w:sectPr w:rsidR="00154786" w:rsidRPr="007B23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B3702"/>
    <w:multiLevelType w:val="hybridMultilevel"/>
    <w:tmpl w:val="F782D2AE"/>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3B224711"/>
    <w:multiLevelType w:val="hybridMultilevel"/>
    <w:tmpl w:val="1DF0C014"/>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 w15:restartNumberingAfterBreak="0">
    <w:nsid w:val="517C3AB4"/>
    <w:multiLevelType w:val="hybridMultilevel"/>
    <w:tmpl w:val="CF1E3D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0D393E"/>
    <w:multiLevelType w:val="hybridMultilevel"/>
    <w:tmpl w:val="8F844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7F95"/>
    <w:rsid w:val="000116DC"/>
    <w:rsid w:val="00026678"/>
    <w:rsid w:val="00064BB0"/>
    <w:rsid w:val="000A0FBB"/>
    <w:rsid w:val="000C3546"/>
    <w:rsid w:val="00102585"/>
    <w:rsid w:val="00107110"/>
    <w:rsid w:val="0011317F"/>
    <w:rsid w:val="001237F3"/>
    <w:rsid w:val="00135A28"/>
    <w:rsid w:val="00135E56"/>
    <w:rsid w:val="00154786"/>
    <w:rsid w:val="00162A93"/>
    <w:rsid w:val="001B60EE"/>
    <w:rsid w:val="001C5CE8"/>
    <w:rsid w:val="002346CE"/>
    <w:rsid w:val="002A5EF3"/>
    <w:rsid w:val="00364A55"/>
    <w:rsid w:val="003C0F27"/>
    <w:rsid w:val="003F77FB"/>
    <w:rsid w:val="00415CEE"/>
    <w:rsid w:val="004513A2"/>
    <w:rsid w:val="00451829"/>
    <w:rsid w:val="004C0F05"/>
    <w:rsid w:val="004D6603"/>
    <w:rsid w:val="004F266E"/>
    <w:rsid w:val="00524C69"/>
    <w:rsid w:val="005318EB"/>
    <w:rsid w:val="00562838"/>
    <w:rsid w:val="005F31B1"/>
    <w:rsid w:val="006811B7"/>
    <w:rsid w:val="00695DD7"/>
    <w:rsid w:val="006B1234"/>
    <w:rsid w:val="006C0B5D"/>
    <w:rsid w:val="00705A47"/>
    <w:rsid w:val="007B231B"/>
    <w:rsid w:val="00804DC0"/>
    <w:rsid w:val="008535BC"/>
    <w:rsid w:val="0085415A"/>
    <w:rsid w:val="008735B8"/>
    <w:rsid w:val="0088454E"/>
    <w:rsid w:val="008B5E36"/>
    <w:rsid w:val="008C780F"/>
    <w:rsid w:val="00930984"/>
    <w:rsid w:val="0095258A"/>
    <w:rsid w:val="009D49B6"/>
    <w:rsid w:val="00A12A3D"/>
    <w:rsid w:val="00A1693E"/>
    <w:rsid w:val="00A24D20"/>
    <w:rsid w:val="00A302B2"/>
    <w:rsid w:val="00A666F8"/>
    <w:rsid w:val="00A725ED"/>
    <w:rsid w:val="00A8394A"/>
    <w:rsid w:val="00A842C2"/>
    <w:rsid w:val="00B47F95"/>
    <w:rsid w:val="00B52320"/>
    <w:rsid w:val="00BA2EE5"/>
    <w:rsid w:val="00BC3B08"/>
    <w:rsid w:val="00BF7EEC"/>
    <w:rsid w:val="00C05BCC"/>
    <w:rsid w:val="00C32F47"/>
    <w:rsid w:val="00C62CBF"/>
    <w:rsid w:val="00CC547C"/>
    <w:rsid w:val="00CD1202"/>
    <w:rsid w:val="00D20B3C"/>
    <w:rsid w:val="00D36D26"/>
    <w:rsid w:val="00D55FFB"/>
    <w:rsid w:val="00DA7192"/>
    <w:rsid w:val="00DB6D69"/>
    <w:rsid w:val="00E101FD"/>
    <w:rsid w:val="00E81546"/>
    <w:rsid w:val="00E83294"/>
    <w:rsid w:val="00E87002"/>
    <w:rsid w:val="00F363F7"/>
    <w:rsid w:val="00F52B71"/>
    <w:rsid w:val="00FC3A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93C97"/>
  <w15:chartTrackingRefBased/>
  <w15:docId w15:val="{D351C937-CFC6-407E-BAC9-1072BEDAE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B47F9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641</Words>
  <Characters>4044</Characters>
  <Application>Microsoft Office Word</Application>
  <DocSecurity>0</DocSecurity>
  <Lines>33</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Jens Schröder-Fürstenberg</cp:lastModifiedBy>
  <cp:revision>2</cp:revision>
  <cp:lastPrinted>2020-09-22T20:41:00Z</cp:lastPrinted>
  <dcterms:created xsi:type="dcterms:W3CDTF">2020-09-30T07:11:00Z</dcterms:created>
  <dcterms:modified xsi:type="dcterms:W3CDTF">2020-09-30T07:11:00Z</dcterms:modified>
</cp:coreProperties>
</file>