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280"/>
        <w:gridCol w:w="1273"/>
        <w:gridCol w:w="645"/>
        <w:gridCol w:w="4451"/>
        <w:gridCol w:w="4255"/>
        <w:gridCol w:w="1960"/>
      </w:tblGrid>
      <w:tr w:rsidR="0072789D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PS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DE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Paragraph"/>
              <w:spacing w:before="60" w:after="60" w:line="240" w:lineRule="auto"/>
            </w:pPr>
            <w:r>
              <w:t>Figure 4 &amp; 5</w:t>
            </w: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ents"/>
              <w:spacing w:before="60" w:after="60" w:line="240" w:lineRule="auto"/>
            </w:pPr>
            <w:proofErr w:type="spellStart"/>
            <w:r>
              <w:t>IspsCodeSecurityLevel</w:t>
            </w:r>
            <w:proofErr w:type="spellEnd"/>
            <w:r>
              <w:t xml:space="preserve"> is incorrectly modelled as Feature Type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hange"/>
              <w:spacing w:before="60" w:after="60" w:line="240" w:lineRule="auto"/>
            </w:pPr>
            <w:r>
              <w:t>To be corrected (deleted) – it is an Attribute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SecretObservations"/>
              <w:spacing w:before="60" w:after="60" w:line="240" w:lineRule="auto"/>
            </w:pPr>
          </w:p>
        </w:tc>
      </w:tr>
      <w:tr w:rsidR="0072789D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PS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DE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Paragraph"/>
              <w:spacing w:before="60" w:after="60" w:line="240" w:lineRule="auto"/>
            </w:pPr>
            <w:r>
              <w:t>Figure 4</w:t>
            </w: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ents"/>
              <w:spacing w:before="60" w:after="60" w:line="240" w:lineRule="auto"/>
            </w:pPr>
            <w:r>
              <w:t>Several entries without square brackets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hange"/>
              <w:spacing w:before="60" w:after="60" w:line="240" w:lineRule="auto"/>
            </w:pPr>
            <w:r>
              <w:t>Syntax to be checked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SecretObservations"/>
              <w:spacing w:before="60" w:after="60" w:line="240" w:lineRule="auto"/>
            </w:pPr>
          </w:p>
        </w:tc>
      </w:tr>
      <w:tr w:rsidR="0072789D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bookmarkStart w:id="0" w:name="_GoBack" w:colFirst="8" w:colLast="8"/>
            <w:r>
              <w:t>Appendix A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CA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D26242" w:rsidRDefault="0072789D" w:rsidP="0072789D">
            <w:pPr>
              <w:pStyle w:val="ISOComments"/>
              <w:spacing w:before="60" w:after="60" w:line="240" w:lineRule="auto"/>
              <w:rPr>
                <w:lang w:val="en-CA"/>
              </w:rPr>
            </w:pPr>
            <w:r>
              <w:t>It is unclear how to capture radio communication details for bridges, locks and canals. These seem best covered in S-127.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hange"/>
              <w:spacing w:before="60" w:after="60" w:line="240" w:lineRule="auto"/>
            </w:pPr>
            <w:r>
              <w:t>Explore the options for capturing</w:t>
            </w:r>
            <w:r w:rsidRPr="00D26242">
              <w:t xml:space="preserve"> radio communication details for bridges, locks and canals</w:t>
            </w:r>
            <w:r>
              <w:t xml:space="preserve"> in S-127. If needed update the data model and/or DCEG with needed details.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SecretObservations"/>
              <w:spacing w:before="60" w:after="60" w:line="240" w:lineRule="auto"/>
            </w:pPr>
          </w:p>
        </w:tc>
      </w:tr>
      <w:bookmarkEnd w:id="0"/>
      <w:tr w:rsidR="0072789D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Appendix A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MB"/>
              <w:spacing w:before="60" w:after="60" w:line="240" w:lineRule="auto"/>
            </w:pPr>
            <w:r>
              <w:t>CA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lause"/>
              <w:spacing w:before="60" w:after="60" w:line="240" w:lineRule="auto"/>
            </w:pPr>
            <w:r w:rsidRPr="006261B1">
              <w:t>5.19.1</w:t>
            </w: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Paragraph"/>
              <w:spacing w:before="60" w:after="60" w:line="240" w:lineRule="auto"/>
            </w:pPr>
            <w:r>
              <w:t>remarks</w:t>
            </w: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omments"/>
              <w:spacing w:before="60" w:after="60" w:line="240" w:lineRule="auto"/>
            </w:pPr>
            <w:r>
              <w:t xml:space="preserve">In </w:t>
            </w:r>
            <w:proofErr w:type="gramStart"/>
            <w:r>
              <w:t>Canada</w:t>
            </w:r>
            <w:proofErr w:type="gramEnd"/>
            <w:r>
              <w:t xml:space="preserve"> we have Ice Control Zones that are activated during the winter season when sea ice conditions are severe and additional precautions have to be made. Our regulation currently only </w:t>
            </w:r>
            <w:proofErr w:type="gramStart"/>
            <w:r>
              <w:t>impacts</w:t>
            </w:r>
            <w:proofErr w:type="gramEnd"/>
            <w:r>
              <w:t xml:space="preserve"> oil and chemical tankers in these areas. It seem </w:t>
            </w:r>
            <w:proofErr w:type="gramStart"/>
            <w:r w:rsidRPr="006261B1">
              <w:t>Ice Control Zones</w:t>
            </w:r>
            <w:proofErr w:type="gramEnd"/>
            <w:r>
              <w:t xml:space="preserve"> best match a sort of </w:t>
            </w:r>
            <w:r w:rsidRPr="006261B1">
              <w:t>Restricted Area Navigational</w:t>
            </w:r>
            <w:r>
              <w:t xml:space="preserve">. Adding a remark bullet will be helpful for </w:t>
            </w:r>
            <w:proofErr w:type="gramStart"/>
            <w:r>
              <w:t>us and others</w:t>
            </w:r>
            <w:proofErr w:type="gramEnd"/>
            <w:r>
              <w:t xml:space="preserve"> in identifying how to encode Ice Control Zones.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Change"/>
              <w:spacing w:before="60" w:after="60" w:line="240" w:lineRule="auto"/>
              <w:rPr>
                <w:lang w:val="en-CA"/>
              </w:rPr>
            </w:pPr>
            <w:r>
              <w:t>Add bullet with text</w:t>
            </w:r>
            <w:r>
              <w:rPr>
                <w:lang w:val="en-CA"/>
              </w:rPr>
              <w:t>; “</w:t>
            </w:r>
            <w:r>
              <w:t xml:space="preserve">Ice Control Zones where navigational restrictions are applied to all or some vessels must be encoded with </w:t>
            </w:r>
            <w:r w:rsidRPr="006261B1">
              <w:t xml:space="preserve">as </w:t>
            </w:r>
            <w:r w:rsidRPr="006261B1">
              <w:rPr>
                <w:b/>
              </w:rPr>
              <w:t>Restricted Area Navigationa</w:t>
            </w:r>
            <w:r w:rsidRPr="006261B1">
              <w:t xml:space="preserve">l with attribute </w:t>
            </w:r>
            <w:r w:rsidRPr="006261B1">
              <w:rPr>
                <w:b/>
              </w:rPr>
              <w:t>restriction</w:t>
            </w:r>
            <w:r>
              <w:t xml:space="preserve"> = 8 (entry restricted). Any seasonality </w:t>
            </w:r>
            <w:proofErr w:type="gramStart"/>
            <w:r>
              <w:t>must be encoded</w:t>
            </w:r>
            <w:proofErr w:type="gramEnd"/>
            <w:r>
              <w:t xml:space="preserve"> in the attribute </w:t>
            </w:r>
            <w:r w:rsidRPr="006261B1">
              <w:rPr>
                <w:b/>
              </w:rPr>
              <w:t>periodic date range</w:t>
            </w:r>
            <w:r>
              <w:t xml:space="preserve">. Additional details on the restrictions in effect </w:t>
            </w:r>
            <w:proofErr w:type="gramStart"/>
            <w:r>
              <w:t>must be captured</w:t>
            </w:r>
            <w:proofErr w:type="gramEnd"/>
            <w:r>
              <w:t xml:space="preserve"> as </w:t>
            </w:r>
            <w:r w:rsidRPr="00ED2314">
              <w:t>an associated instance of</w:t>
            </w:r>
            <w:r>
              <w:t xml:space="preserve"> </w:t>
            </w:r>
            <w:r w:rsidRPr="00ED2314">
              <w:rPr>
                <w:b/>
              </w:rPr>
              <w:t>Restrictions</w:t>
            </w:r>
            <w:r>
              <w:t xml:space="preserve"> (see clause 7.5).</w:t>
            </w:r>
            <w:r w:rsidRPr="00ED2314">
              <w:t xml:space="preserve"> </w:t>
            </w:r>
            <w:r>
              <w:t>The authority managing the Ice Control Zone</w:t>
            </w:r>
            <w:r w:rsidRPr="00E72C9A">
              <w:t xml:space="preserve"> </w:t>
            </w:r>
            <w:proofErr w:type="gramStart"/>
            <w:r>
              <w:t>must be captured</w:t>
            </w:r>
            <w:proofErr w:type="gramEnd"/>
            <w:r>
              <w:t xml:space="preserve"> as an associated</w:t>
            </w:r>
            <w:r w:rsidRPr="000568B2">
              <w:t xml:space="preserve"> instance </w:t>
            </w:r>
            <w:r>
              <w:t xml:space="preserve">of </w:t>
            </w:r>
            <w:r w:rsidRPr="006261B1">
              <w:rPr>
                <w:b/>
              </w:rPr>
              <w:t>Authority</w:t>
            </w:r>
            <w:r>
              <w:rPr>
                <w:b/>
              </w:rPr>
              <w:t xml:space="preserve"> </w:t>
            </w:r>
            <w:r>
              <w:t>(see clause 7.6).</w:t>
            </w:r>
            <w:r w:rsidRPr="00ED2314">
              <w:t xml:space="preserve"> </w:t>
            </w:r>
            <w:r>
              <w:t xml:space="preserve"> </w:t>
            </w:r>
            <w:proofErr w:type="gramStart"/>
            <w:r>
              <w:t>information</w:t>
            </w:r>
            <w:proofErr w:type="gramEnd"/>
            <w:r>
              <w:t xml:space="preserve"> class. Means of contacting the </w:t>
            </w:r>
            <w:r w:rsidRPr="00E72C9A">
              <w:t xml:space="preserve">managing </w:t>
            </w:r>
            <w:r>
              <w:t xml:space="preserve">authority </w:t>
            </w:r>
            <w:proofErr w:type="gramStart"/>
            <w:r>
              <w:t>must be captured</w:t>
            </w:r>
            <w:proofErr w:type="gramEnd"/>
            <w:r>
              <w:t xml:space="preserve"> as an associated </w:t>
            </w:r>
            <w:r w:rsidRPr="000568B2">
              <w:t xml:space="preserve">instance </w:t>
            </w:r>
            <w:r>
              <w:t xml:space="preserve">of </w:t>
            </w:r>
            <w:r w:rsidRPr="000747BC">
              <w:rPr>
                <w:b/>
              </w:rPr>
              <w:t>Contact Details</w:t>
            </w:r>
            <w:r>
              <w:rPr>
                <w:b/>
              </w:rPr>
              <w:t xml:space="preserve"> </w:t>
            </w:r>
            <w:r w:rsidRPr="000568B2">
              <w:t>(see clause 7.8)</w:t>
            </w:r>
            <w:r>
              <w:rPr>
                <w:b/>
              </w:rPr>
              <w:t xml:space="preserve"> </w:t>
            </w:r>
            <w:r>
              <w:t xml:space="preserve">information class. If the area is specific to only some vessels, details regarding this </w:t>
            </w:r>
            <w:proofErr w:type="gramStart"/>
            <w:r>
              <w:t>must be captured</w:t>
            </w:r>
            <w:proofErr w:type="gramEnd"/>
            <w:r>
              <w:t xml:space="preserve"> as an associated </w:t>
            </w:r>
            <w:r w:rsidRPr="000568B2">
              <w:t xml:space="preserve">instance </w:t>
            </w:r>
            <w:r>
              <w:t xml:space="preserve">of </w:t>
            </w:r>
            <w:r w:rsidRPr="000747BC">
              <w:rPr>
                <w:b/>
              </w:rPr>
              <w:t>Applicability</w:t>
            </w:r>
            <w:r>
              <w:rPr>
                <w:b/>
              </w:rPr>
              <w:t xml:space="preserve"> </w:t>
            </w:r>
            <w:r>
              <w:t>(see clause 7.12)</w:t>
            </w:r>
            <w:r w:rsidRPr="00ED2314">
              <w:t xml:space="preserve"> </w:t>
            </w:r>
            <w:r>
              <w:t>information class. Additional information may be captured in a</w:t>
            </w:r>
            <w:r w:rsidRPr="000568B2">
              <w:t xml:space="preserve">n associated instance of the information class </w:t>
            </w:r>
            <w:r w:rsidRPr="000568B2">
              <w:rPr>
                <w:b/>
              </w:rPr>
              <w:t>Nautical Information</w:t>
            </w:r>
            <w:r w:rsidRPr="000568B2">
              <w:t xml:space="preserve"> (see clause 7.3)</w:t>
            </w:r>
            <w:r>
              <w:t xml:space="preserve"> when applicable to multiple instances, or as the</w:t>
            </w:r>
            <w:r w:rsidRPr="000568B2">
              <w:t xml:space="preserve"> complex attribute </w:t>
            </w:r>
            <w:proofErr w:type="spellStart"/>
            <w:r w:rsidRPr="00ED2314">
              <w:rPr>
                <w:b/>
              </w:rPr>
              <w:t>textContent</w:t>
            </w:r>
            <w:proofErr w:type="spellEnd"/>
            <w:r w:rsidRPr="000568B2">
              <w:t xml:space="preserve"> </w:t>
            </w:r>
            <w:r>
              <w:t>when the information is specific to the instance.</w:t>
            </w:r>
            <w:r>
              <w:rPr>
                <w:lang w:val="en-CA"/>
              </w:rPr>
              <w:t>”</w:t>
            </w:r>
          </w:p>
          <w:p w:rsidR="004746D7" w:rsidRPr="006261B1" w:rsidRDefault="004746D7" w:rsidP="0072789D">
            <w:pPr>
              <w:pStyle w:val="ISOChange"/>
              <w:spacing w:before="60" w:after="60" w:line="240" w:lineRule="auto"/>
              <w:rPr>
                <w:lang w:val="en-CA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Default="0072789D" w:rsidP="0072789D">
            <w:pPr>
              <w:pStyle w:val="ISOSecretObservations"/>
              <w:spacing w:before="60" w:after="60" w:line="240" w:lineRule="auto"/>
            </w:pPr>
          </w:p>
        </w:tc>
      </w:tr>
      <w:tr w:rsidR="0072789D" w:rsidTr="0061586C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61586C" w:rsidRDefault="004E179C" w:rsidP="0072789D">
            <w:pPr>
              <w:pStyle w:val="ISOMB"/>
              <w:spacing w:before="60" w:after="60" w:line="240" w:lineRule="auto"/>
            </w:pPr>
            <w:r>
              <w:lastRenderedPageBreak/>
              <w:t>Appendix A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61586C" w:rsidRDefault="006B10EB" w:rsidP="0072789D">
            <w:pPr>
              <w:pStyle w:val="ISOMB"/>
              <w:spacing w:before="60" w:after="60" w:line="240" w:lineRule="auto"/>
            </w:pPr>
            <w:r w:rsidRPr="0061586C">
              <w:t>UNH</w:t>
            </w:r>
          </w:p>
          <w:p w:rsidR="006B10EB" w:rsidRDefault="006B10EB" w:rsidP="0072789D">
            <w:pPr>
              <w:pStyle w:val="ISOMB"/>
              <w:spacing w:before="60" w:after="60" w:line="240" w:lineRule="auto"/>
            </w:pPr>
            <w:r w:rsidRPr="0061586C">
              <w:t>IIC</w:t>
            </w:r>
          </w:p>
          <w:p w:rsidR="00EB320B" w:rsidRPr="0061586C" w:rsidRDefault="00EB320B" w:rsidP="0072789D">
            <w:pPr>
              <w:pStyle w:val="ISOMB"/>
              <w:spacing w:before="60" w:after="60" w:line="240" w:lineRule="auto"/>
            </w:pPr>
            <w:r>
              <w:t>BSH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4746D7" w:rsidRDefault="0072789D" w:rsidP="0072789D">
            <w:pPr>
              <w:pStyle w:val="ISOClause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4746D7" w:rsidRDefault="0072789D" w:rsidP="0072789D">
            <w:pPr>
              <w:pStyle w:val="ISOParagraph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2789D" w:rsidRPr="0061586C" w:rsidRDefault="004746D7" w:rsidP="0072789D">
            <w:pPr>
              <w:pStyle w:val="ISOCommType"/>
              <w:spacing w:before="60" w:after="60" w:line="240" w:lineRule="auto"/>
            </w:pPr>
            <w:proofErr w:type="spellStart"/>
            <w:r w:rsidRPr="0061586C"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2789D" w:rsidRPr="0061586C" w:rsidRDefault="004746D7" w:rsidP="004746D7">
            <w:pPr>
              <w:pStyle w:val="ISOChange"/>
              <w:spacing w:before="60" w:after="60" w:line="240" w:lineRule="auto"/>
            </w:pPr>
            <w:r w:rsidRPr="0061586C">
              <w:t xml:space="preserve">By renaming and </w:t>
            </w:r>
            <w:proofErr w:type="gramStart"/>
            <w:r w:rsidRPr="0061586C">
              <w:t>clarifying</w:t>
            </w:r>
            <w:proofErr w:type="gramEnd"/>
            <w:r w:rsidRPr="0061586C">
              <w:t xml:space="preserve"> the definition of Local Port Service Area there will be a better understanding via the name of what the intended purpose of the feature area is. By updating </w:t>
            </w:r>
            <w:r w:rsidR="00B83756">
              <w:t xml:space="preserve">the definition, it will be </w:t>
            </w:r>
            <w:proofErr w:type="gramStart"/>
            <w:r w:rsidR="00B83756">
              <w:t xml:space="preserve">more </w:t>
            </w:r>
            <w:r w:rsidRPr="0061586C">
              <w:t>clear</w:t>
            </w:r>
            <w:proofErr w:type="gramEnd"/>
            <w:r w:rsidRPr="0061586C">
              <w:t xml:space="preserve"> on its intended use.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61586C" w:rsidRDefault="004746D7" w:rsidP="0072789D">
            <w:pPr>
              <w:pStyle w:val="ISOChange"/>
              <w:spacing w:before="60" w:after="60" w:line="240" w:lineRule="auto"/>
            </w:pPr>
            <w:r w:rsidRPr="0061586C">
              <w:t>Rename Local Port Service Area to Local Port Broadcast Service Area and add “broadcast” to service in definition</w:t>
            </w:r>
            <w:r w:rsidR="0061586C" w:rsidRPr="0061586C">
              <w:t>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72789D" w:rsidRPr="004746D7" w:rsidRDefault="0072789D" w:rsidP="0072789D">
            <w:pPr>
              <w:pStyle w:val="ISOSecretObservations"/>
              <w:spacing w:before="60" w:after="60" w:line="240" w:lineRule="auto"/>
              <w:rPr>
                <w:highlight w:val="yellow"/>
              </w:rPr>
            </w:pPr>
          </w:p>
        </w:tc>
      </w:tr>
      <w:tr w:rsidR="00DF44AB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MB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MB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Clause"/>
              <w:spacing w:before="60" w:after="60" w:line="240" w:lineRule="auto"/>
              <w:rPr>
                <w:strike/>
                <w:highlight w:val="yellow"/>
              </w:rPr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Paragraph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CommType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B743D8" w:rsidRPr="00EB320B" w:rsidRDefault="00B743D8" w:rsidP="00DF44AB">
            <w:pPr>
              <w:pStyle w:val="ISOComments"/>
              <w:spacing w:before="60" w:after="60" w:line="240" w:lineRule="auto"/>
              <w:rPr>
                <w:rFonts w:cs="Arial"/>
                <w:strike/>
                <w:szCs w:val="28"/>
                <w:highlight w:val="yellow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EB320B" w:rsidRDefault="00DF44AB" w:rsidP="00DF44AB">
            <w:pPr>
              <w:pStyle w:val="ISOChange"/>
              <w:spacing w:before="60" w:after="60" w:line="240" w:lineRule="auto"/>
              <w:rPr>
                <w:highlight w:val="yellow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Default="00DF44AB" w:rsidP="00DF44AB">
            <w:pPr>
              <w:pStyle w:val="ISOSecretObservations"/>
              <w:spacing w:before="60" w:after="60" w:line="240" w:lineRule="auto"/>
            </w:pPr>
          </w:p>
        </w:tc>
      </w:tr>
      <w:tr w:rsidR="00DF44AB" w:rsidRPr="00264DC8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DF44AB" w:rsidRPr="00264DC8" w:rsidRDefault="00DF44AB" w:rsidP="00DF44AB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 w:line="210" w:lineRule="exact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2831C3" w:rsidRDefault="00535801" w:rsidP="00535801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535801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Pr="00053F6F" w:rsidRDefault="00535801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535801" w:rsidRDefault="00535801" w:rsidP="00535801">
            <w:pPr>
              <w:pStyle w:val="ISOSecretObservations"/>
              <w:spacing w:before="60" w:after="60" w:line="240" w:lineRule="auto"/>
            </w:pPr>
          </w:p>
        </w:tc>
      </w:tr>
      <w:tr w:rsidR="00AB730B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Pr="00053F6F" w:rsidRDefault="00AB730B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SecretObservations"/>
              <w:spacing w:before="60" w:after="60" w:line="240" w:lineRule="auto"/>
            </w:pPr>
          </w:p>
        </w:tc>
      </w:tr>
      <w:tr w:rsidR="00AB730B" w:rsidTr="00844DD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Pr="00053F6F" w:rsidRDefault="00AB730B" w:rsidP="00535801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lause"/>
              <w:spacing w:before="60" w:after="60" w:line="240" w:lineRule="auto"/>
            </w:pPr>
          </w:p>
        </w:tc>
        <w:tc>
          <w:tcPr>
            <w:tcW w:w="1273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Paragraph"/>
              <w:spacing w:before="60" w:after="60" w:line="240" w:lineRule="auto"/>
            </w:pPr>
          </w:p>
        </w:tc>
        <w:tc>
          <w:tcPr>
            <w:tcW w:w="645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AB730B" w:rsidRDefault="00AB730B" w:rsidP="00535801">
            <w:pPr>
              <w:pStyle w:val="ISOSecretObservations"/>
              <w:spacing w:before="60" w:after="60" w:line="240" w:lineRule="auto"/>
            </w:pPr>
          </w:p>
        </w:tc>
      </w:tr>
    </w:tbl>
    <w:p w:rsidR="00336E6D" w:rsidRDefault="00336E6D"/>
    <w:sectPr w:rsidR="00336E6D" w:rsidSect="00336E6D">
      <w:headerReference w:type="default" r:id="rId6"/>
      <w:footerReference w:type="default" r:id="rId7"/>
      <w:headerReference w:type="first" r:id="rId8"/>
      <w:footerReference w:type="first" r:id="rId9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BA" w:rsidRDefault="00266DBA" w:rsidP="00336E6D">
      <w:r>
        <w:separator/>
      </w:r>
    </w:p>
  </w:endnote>
  <w:endnote w:type="continuationSeparator" w:id="0">
    <w:p w:rsidR="00266DBA" w:rsidRDefault="00266DBA" w:rsidP="0033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58" w:rsidRDefault="00336E6D">
    <w:pPr>
      <w:pStyle w:val="Pidipagina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bCs/>
        <w:sz w:val="16"/>
      </w:rPr>
      <w:t>1</w:t>
    </w:r>
    <w:r>
      <w:rPr>
        <w:rStyle w:val="Numeropagina"/>
        <w:bCs/>
        <w:sz w:val="16"/>
      </w:rPr>
      <w:tab/>
    </w:r>
    <w:r>
      <w:rPr>
        <w:rStyle w:val="Numeropagina"/>
        <w:b/>
        <w:sz w:val="16"/>
      </w:rPr>
      <w:t>CO</w:t>
    </w:r>
    <w:r>
      <w:rPr>
        <w:rStyle w:val="Numeropagina"/>
        <w:bCs/>
        <w:sz w:val="16"/>
      </w:rPr>
      <w:t xml:space="preserve"> = Contributing Organisation (HOs should use 2 character codes e.g. FR AU etc.)</w:t>
    </w:r>
  </w:p>
  <w:p w:rsidR="00663358" w:rsidRDefault="00336E6D">
    <w:pPr>
      <w:pStyle w:val="Pidipagina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sz w:val="16"/>
      </w:rPr>
      <w:t>2</w:t>
    </w:r>
    <w:r>
      <w:rPr>
        <w:rStyle w:val="Numeropagina"/>
        <w:b/>
        <w:sz w:val="16"/>
      </w:rPr>
      <w:tab/>
      <w:t>Type of comment: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/>
        <w:sz w:val="16"/>
      </w:rPr>
      <w:t>ge</w:t>
    </w:r>
    <w:proofErr w:type="spellEnd"/>
    <w:r>
      <w:rPr>
        <w:rStyle w:val="Numeropagina"/>
        <w:bCs/>
        <w:sz w:val="16"/>
      </w:rPr>
      <w:t xml:space="preserve"> = general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/>
        <w:sz w:val="16"/>
      </w:rPr>
      <w:t>te</w:t>
    </w:r>
    <w:proofErr w:type="spellEnd"/>
    <w:r>
      <w:rPr>
        <w:rStyle w:val="Numeropagina"/>
        <w:bCs/>
        <w:sz w:val="16"/>
      </w:rPr>
      <w:t xml:space="preserve"> = technical 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/>
        <w:sz w:val="16"/>
      </w:rPr>
      <w:t>ed</w:t>
    </w:r>
    <w:proofErr w:type="spellEnd"/>
    <w:r>
      <w:rPr>
        <w:rStyle w:val="Numeropagina"/>
        <w:bCs/>
        <w:sz w:val="16"/>
      </w:rPr>
      <w:t xml:space="preserve"> = editorial</w:t>
    </w:r>
  </w:p>
  <w:p w:rsidR="00663358" w:rsidRDefault="00336E6D">
    <w:pPr>
      <w:pStyle w:val="Pidipagina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bCs/>
        <w:sz w:val="16"/>
      </w:rPr>
      <w:t xml:space="preserve">3     Whilst not compulsory, comments are more likely to be accepted if accompanied by a proposed change. </w:t>
    </w:r>
  </w:p>
  <w:p w:rsidR="00663358" w:rsidRDefault="00336E6D">
    <w:pPr>
      <w:pStyle w:val="Pidipagina"/>
      <w:tabs>
        <w:tab w:val="clear" w:pos="4820"/>
        <w:tab w:val="clear" w:pos="9639"/>
        <w:tab w:val="left" w:pos="426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b/>
        <w:sz w:val="16"/>
      </w:rPr>
      <w:t>NOTE</w:t>
    </w:r>
    <w:r>
      <w:rPr>
        <w:rStyle w:val="Numeropagina"/>
        <w:bCs/>
        <w:sz w:val="16"/>
      </w:rPr>
      <w:tab/>
      <w:t>Columns 1, 2, 4, 5 are compulsory.</w:t>
    </w:r>
  </w:p>
  <w:p w:rsidR="00663358" w:rsidRDefault="00336E6D">
    <w:pPr>
      <w:pStyle w:val="Pidipagina"/>
      <w:tabs>
        <w:tab w:val="clear" w:pos="4820"/>
        <w:tab w:val="clear" w:pos="9639"/>
      </w:tabs>
      <w:jc w:val="right"/>
      <w:rPr>
        <w:rStyle w:val="Numeropagina"/>
        <w:sz w:val="16"/>
      </w:rPr>
    </w:pPr>
    <w:proofErr w:type="gramStart"/>
    <w:r>
      <w:rPr>
        <w:rStyle w:val="Numeropagina"/>
        <w:sz w:val="16"/>
        <w:lang w:val="en-US"/>
      </w:rPr>
      <w:t>page</w:t>
    </w:r>
    <w:proofErr w:type="gramEnd"/>
    <w:r>
      <w:rPr>
        <w:rStyle w:val="Numeropagina"/>
        <w:sz w:val="16"/>
        <w:lang w:val="en-US"/>
      </w:rPr>
      <w:t xml:space="preserve"> </w:t>
    </w:r>
    <w:r>
      <w:rPr>
        <w:rStyle w:val="Numeropagina"/>
        <w:sz w:val="16"/>
        <w:lang w:val="en-US"/>
      </w:rPr>
      <w:fldChar w:fldCharType="begin"/>
    </w:r>
    <w:r>
      <w:rPr>
        <w:rStyle w:val="Numeropagina"/>
        <w:sz w:val="16"/>
        <w:lang w:val="en-US"/>
      </w:rPr>
      <w:instrText xml:space="preserve"> PAGE </w:instrText>
    </w:r>
    <w:r>
      <w:rPr>
        <w:rStyle w:val="Numeropagina"/>
        <w:sz w:val="16"/>
        <w:lang w:val="en-US"/>
      </w:rPr>
      <w:fldChar w:fldCharType="separate"/>
    </w:r>
    <w:r w:rsidR="00C54CFF">
      <w:rPr>
        <w:rStyle w:val="Numeropagina"/>
        <w:noProof/>
        <w:sz w:val="16"/>
        <w:lang w:val="en-US"/>
      </w:rPr>
      <w:t>2</w:t>
    </w:r>
    <w:r>
      <w:rPr>
        <w:rStyle w:val="Numeropagina"/>
        <w:sz w:val="16"/>
        <w:lang w:val="en-US"/>
      </w:rPr>
      <w:fldChar w:fldCharType="end"/>
    </w:r>
    <w:r>
      <w:rPr>
        <w:rStyle w:val="Numeropagina"/>
        <w:sz w:val="16"/>
        <w:lang w:val="en-US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58" w:rsidRDefault="00336E6D">
    <w:pPr>
      <w:pStyle w:val="Pidipagina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bCs/>
        <w:sz w:val="16"/>
      </w:rPr>
      <w:t>1</w:t>
    </w:r>
    <w:r>
      <w:rPr>
        <w:rStyle w:val="Numeropagina"/>
        <w:bCs/>
        <w:sz w:val="16"/>
      </w:rPr>
      <w:tab/>
    </w:r>
    <w:r>
      <w:rPr>
        <w:rStyle w:val="Numeropagina"/>
        <w:b/>
        <w:sz w:val="16"/>
      </w:rPr>
      <w:t>MB</w:t>
    </w:r>
    <w:r>
      <w:rPr>
        <w:rStyle w:val="Numeropagina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Numeropagina"/>
            <w:bCs/>
            <w:sz w:val="16"/>
          </w:rPr>
          <w:t>China</w:t>
        </w:r>
      </w:smartTag>
    </w:smartTag>
    <w:r>
      <w:rPr>
        <w:rStyle w:val="Numeropagina"/>
        <w:bCs/>
        <w:sz w:val="16"/>
      </w:rPr>
      <w:t>)</w:t>
    </w:r>
    <w:r>
      <w:rPr>
        <w:rStyle w:val="Numeropagina"/>
        <w:bCs/>
        <w:sz w:val="16"/>
      </w:rPr>
      <w:tab/>
    </w:r>
    <w:r>
      <w:rPr>
        <w:rStyle w:val="Numeropagina"/>
        <w:b/>
        <w:sz w:val="16"/>
      </w:rPr>
      <w:t>**</w:t>
    </w:r>
    <w:r>
      <w:rPr>
        <w:rStyle w:val="Numeropagina"/>
        <w:bCs/>
        <w:sz w:val="16"/>
      </w:rPr>
      <w:t xml:space="preserve"> = ISO/CS editing unit</w:t>
    </w:r>
  </w:p>
  <w:p w:rsidR="00663358" w:rsidRDefault="00336E6D">
    <w:pPr>
      <w:pStyle w:val="Pidipagina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sz w:val="16"/>
      </w:rPr>
      <w:t>2</w:t>
    </w:r>
    <w:r>
      <w:rPr>
        <w:rStyle w:val="Numeropagina"/>
        <w:b/>
        <w:sz w:val="16"/>
      </w:rPr>
      <w:tab/>
      <w:t>Type of comment</w:t>
    </w:r>
    <w:r>
      <w:rPr>
        <w:rStyle w:val="Numeropagina"/>
        <w:bCs/>
        <w:sz w:val="16"/>
      </w:rPr>
      <w:t>: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Cs/>
        <w:sz w:val="16"/>
      </w:rPr>
      <w:t>ge</w:t>
    </w:r>
    <w:proofErr w:type="spellEnd"/>
    <w:r>
      <w:rPr>
        <w:rStyle w:val="Numeropagina"/>
        <w:bCs/>
        <w:sz w:val="16"/>
      </w:rPr>
      <w:t xml:space="preserve"> = general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Cs/>
        <w:sz w:val="16"/>
      </w:rPr>
      <w:t>te</w:t>
    </w:r>
    <w:proofErr w:type="spellEnd"/>
    <w:r>
      <w:rPr>
        <w:rStyle w:val="Numeropagina"/>
        <w:bCs/>
        <w:sz w:val="16"/>
      </w:rPr>
      <w:t xml:space="preserve"> = technical </w:t>
    </w:r>
    <w:r>
      <w:rPr>
        <w:rStyle w:val="Numeropagina"/>
        <w:bCs/>
        <w:sz w:val="16"/>
      </w:rPr>
      <w:tab/>
    </w:r>
    <w:proofErr w:type="spellStart"/>
    <w:r>
      <w:rPr>
        <w:rStyle w:val="Numeropagina"/>
        <w:bCs/>
        <w:sz w:val="16"/>
      </w:rPr>
      <w:t>ed</w:t>
    </w:r>
    <w:proofErr w:type="spellEnd"/>
    <w:r>
      <w:rPr>
        <w:rStyle w:val="Numeropagina"/>
        <w:bCs/>
        <w:sz w:val="16"/>
      </w:rPr>
      <w:t xml:space="preserve"> = editorial </w:t>
    </w:r>
  </w:p>
  <w:p w:rsidR="00663358" w:rsidRDefault="00336E6D">
    <w:pPr>
      <w:pStyle w:val="Pidipagina"/>
      <w:tabs>
        <w:tab w:val="clear" w:pos="4820"/>
        <w:tab w:val="clear" w:pos="9639"/>
        <w:tab w:val="left" w:pos="284"/>
      </w:tabs>
      <w:spacing w:before="20" w:after="20"/>
      <w:jc w:val="left"/>
      <w:rPr>
        <w:rStyle w:val="Numeropagina"/>
        <w:bCs/>
        <w:sz w:val="16"/>
      </w:rPr>
    </w:pPr>
    <w:r>
      <w:rPr>
        <w:rStyle w:val="Numeropagina"/>
        <w:b/>
        <w:sz w:val="16"/>
      </w:rPr>
      <w:t>NB</w:t>
    </w:r>
    <w:r>
      <w:rPr>
        <w:rStyle w:val="Numeropagina"/>
        <w:bCs/>
        <w:sz w:val="16"/>
      </w:rPr>
      <w:tab/>
      <w:t>Columns 1, 2, 4, 5 are compulsory.</w:t>
    </w:r>
  </w:p>
  <w:p w:rsidR="00663358" w:rsidRDefault="00336E6D">
    <w:pPr>
      <w:pStyle w:val="Pidipagina"/>
      <w:tabs>
        <w:tab w:val="clear" w:pos="4820"/>
        <w:tab w:val="clear" w:pos="9639"/>
      </w:tabs>
      <w:jc w:val="right"/>
      <w:rPr>
        <w:rStyle w:val="Numeropagina"/>
        <w:sz w:val="16"/>
      </w:rPr>
    </w:pPr>
    <w:proofErr w:type="gramStart"/>
    <w:r>
      <w:rPr>
        <w:rStyle w:val="Numeropagina"/>
        <w:sz w:val="16"/>
        <w:lang w:val="en-US"/>
      </w:rPr>
      <w:t>page</w:t>
    </w:r>
    <w:proofErr w:type="gramEnd"/>
    <w:r>
      <w:rPr>
        <w:rStyle w:val="Numeropagina"/>
        <w:sz w:val="16"/>
        <w:lang w:val="en-US"/>
      </w:rPr>
      <w:t xml:space="preserve"> </w:t>
    </w:r>
    <w:r>
      <w:rPr>
        <w:rStyle w:val="Numeropagina"/>
        <w:sz w:val="16"/>
        <w:lang w:val="en-US"/>
      </w:rPr>
      <w:fldChar w:fldCharType="begin"/>
    </w:r>
    <w:r>
      <w:rPr>
        <w:rStyle w:val="Numeropagina"/>
        <w:sz w:val="16"/>
        <w:lang w:val="en-US"/>
      </w:rPr>
      <w:instrText xml:space="preserve"> PAGE </w:instrText>
    </w:r>
    <w:r>
      <w:rPr>
        <w:rStyle w:val="Numeropagina"/>
        <w:sz w:val="16"/>
        <w:lang w:val="en-US"/>
      </w:rPr>
      <w:fldChar w:fldCharType="separate"/>
    </w:r>
    <w:r>
      <w:rPr>
        <w:rStyle w:val="Numeropagina"/>
        <w:noProof/>
        <w:sz w:val="16"/>
        <w:lang w:val="en-US"/>
      </w:rPr>
      <w:t>1</w:t>
    </w:r>
    <w:r>
      <w:rPr>
        <w:rStyle w:val="Numeropagina"/>
        <w:sz w:val="16"/>
        <w:lang w:val="en-US"/>
      </w:rPr>
      <w:fldChar w:fldCharType="end"/>
    </w:r>
    <w:r>
      <w:rPr>
        <w:rStyle w:val="Numeropagina"/>
        <w:sz w:val="16"/>
        <w:lang w:val="en-US"/>
      </w:rPr>
      <w:t xml:space="preserve"> of </w:t>
    </w:r>
    <w:r>
      <w:rPr>
        <w:rStyle w:val="Numeropagina"/>
        <w:sz w:val="16"/>
        <w:lang w:val="en-US"/>
      </w:rPr>
      <w:fldChar w:fldCharType="begin"/>
    </w:r>
    <w:r>
      <w:rPr>
        <w:rStyle w:val="Numeropagina"/>
        <w:sz w:val="16"/>
        <w:lang w:val="en-US"/>
      </w:rPr>
      <w:instrText xml:space="preserve"> NUMPAGES </w:instrText>
    </w:r>
    <w:r>
      <w:rPr>
        <w:rStyle w:val="Numeropagina"/>
        <w:sz w:val="16"/>
        <w:lang w:val="en-US"/>
      </w:rPr>
      <w:fldChar w:fldCharType="separate"/>
    </w:r>
    <w:r>
      <w:rPr>
        <w:rStyle w:val="Numeropagina"/>
        <w:noProof/>
        <w:sz w:val="16"/>
        <w:lang w:val="en-US"/>
      </w:rPr>
      <w:t>3</w:t>
    </w:r>
    <w:r>
      <w:rPr>
        <w:rStyle w:val="Numeropagina"/>
        <w:sz w:val="16"/>
        <w:lang w:val="en-US"/>
      </w:rPr>
      <w:fldChar w:fldCharType="end"/>
    </w:r>
  </w:p>
  <w:p w:rsidR="00663358" w:rsidRDefault="00336E6D">
    <w:pPr>
      <w:pStyle w:val="Pidipagina"/>
      <w:jc w:val="left"/>
      <w:rPr>
        <w:sz w:val="14"/>
      </w:rPr>
    </w:pPr>
    <w:r>
      <w:rPr>
        <w:rStyle w:val="Numeropagina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BA" w:rsidRDefault="00266DBA" w:rsidP="00336E6D">
      <w:r>
        <w:separator/>
      </w:r>
    </w:p>
  </w:footnote>
  <w:footnote w:type="continuationSeparator" w:id="0">
    <w:p w:rsidR="00266DBA" w:rsidRDefault="00266DBA" w:rsidP="00336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1660"/>
      <w:gridCol w:w="4785"/>
    </w:tblGrid>
    <w:tr w:rsidR="00663358" w:rsidTr="00535801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:rsidR="00663358" w:rsidRDefault="00336E6D" w:rsidP="00DB7D1A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S-12</w:t>
          </w:r>
          <w:r w:rsidR="001F304C">
            <w:rPr>
              <w:rStyle w:val="MTEquationSection"/>
              <w:b/>
              <w:bCs/>
              <w:sz w:val="22"/>
            </w:rPr>
            <w:t>7</w:t>
          </w:r>
          <w:r>
            <w:rPr>
              <w:rStyle w:val="MTEquationSection"/>
              <w:b/>
              <w:bCs/>
              <w:sz w:val="22"/>
            </w:rPr>
            <w:t xml:space="preserve"> comments and editorial observations </w:t>
          </w:r>
          <w:r w:rsidRPr="00CD37EB">
            <w:rPr>
              <w:rStyle w:val="MTEquationSection"/>
              <w:bCs/>
              <w:sz w:val="20"/>
            </w:rPr>
            <w:t>(Please send all comments to</w:t>
          </w:r>
          <w:r>
            <w:rPr>
              <w:rStyle w:val="MTEquationSection"/>
              <w:bCs/>
              <w:sz w:val="20"/>
            </w:rPr>
            <w:t xml:space="preserve"> </w:t>
          </w:r>
          <w:r w:rsidR="00DB7D1A">
            <w:rPr>
              <w:rStyle w:val="MTEquationSection"/>
              <w:bCs/>
              <w:sz w:val="20"/>
            </w:rPr>
            <w:t xml:space="preserve">Elena Armanino </w:t>
          </w:r>
          <w:r w:rsidR="00754AAE">
            <w:rPr>
              <w:rStyle w:val="MTEquationSection"/>
              <w:bCs/>
              <w:sz w:val="20"/>
            </w:rPr>
            <w:t xml:space="preserve"> (</w:t>
          </w:r>
          <w:proofErr w:type="spellStart"/>
          <w:r w:rsidR="001F304C" w:rsidRPr="001F304C">
            <w:rPr>
              <w:rStyle w:val="MTEquationSection"/>
              <w:bCs/>
              <w:sz w:val="20"/>
            </w:rPr>
            <w:t>elena_armanino</w:t>
          </w:r>
          <w:proofErr w:type="spellEnd"/>
          <w:r w:rsidR="001F304C">
            <w:rPr>
              <w:rStyle w:val="MTEquationSection"/>
              <w:bCs/>
              <w:sz w:val="20"/>
            </w:rPr>
            <w:t>[at]</w:t>
          </w:r>
          <w:r w:rsidR="001F304C" w:rsidRPr="001F304C">
            <w:rPr>
              <w:rStyle w:val="MTEquationSection"/>
              <w:bCs/>
              <w:sz w:val="20"/>
            </w:rPr>
            <w:t>marina.difesa.i</w:t>
          </w:r>
          <w:r w:rsidR="001F304C">
            <w:rPr>
              <w:rStyle w:val="MTEquationSection"/>
              <w:bCs/>
              <w:sz w:val="20"/>
            </w:rPr>
            <w:t>t</w:t>
          </w:r>
          <w:r w:rsidR="00754AAE" w:rsidRPr="00754AAE">
            <w:rPr>
              <w:rStyle w:val="eudoraheader"/>
              <w:color w:val="FF0000"/>
              <w:sz w:val="20"/>
            </w:rPr>
            <w:t>)</w:t>
          </w:r>
        </w:p>
      </w:tc>
      <w:tc>
        <w:tcPr>
          <w:tcW w:w="16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63358" w:rsidRDefault="00336E6D" w:rsidP="001D4130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BA1037">
            <w:rPr>
              <w:bCs/>
            </w:rPr>
            <w:t>30/09/2021</w:t>
          </w:r>
        </w:p>
      </w:tc>
      <w:tc>
        <w:tcPr>
          <w:tcW w:w="4785" w:type="dxa"/>
          <w:tcBorders>
            <w:top w:val="single" w:sz="6" w:space="0" w:color="auto"/>
            <w:bottom w:val="single" w:sz="6" w:space="0" w:color="auto"/>
          </w:tcBorders>
        </w:tcPr>
        <w:p w:rsidR="00663358" w:rsidRDefault="00336E6D" w:rsidP="00535801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C54CFF">
            <w:rPr>
              <w:b/>
              <w:sz w:val="20"/>
            </w:rPr>
            <w:t>S-</w:t>
          </w:r>
          <w:r w:rsidR="00535801" w:rsidRPr="00B450B2">
            <w:rPr>
              <w:b/>
              <w:sz w:val="20"/>
            </w:rPr>
            <w:t>12</w:t>
          </w:r>
          <w:r w:rsidR="00535801">
            <w:rPr>
              <w:b/>
              <w:sz w:val="20"/>
            </w:rPr>
            <w:t>7</w:t>
          </w:r>
          <w:r w:rsidR="00535801" w:rsidRPr="00B450B2">
            <w:rPr>
              <w:b/>
              <w:sz w:val="20"/>
            </w:rPr>
            <w:t xml:space="preserve"> (Edition 1.0.</w:t>
          </w:r>
          <w:r w:rsidR="00535801">
            <w:rPr>
              <w:b/>
              <w:sz w:val="20"/>
            </w:rPr>
            <w:t>1</w:t>
          </w:r>
          <w:r w:rsidR="00535801" w:rsidRPr="00B450B2">
            <w:rPr>
              <w:b/>
              <w:sz w:val="20"/>
            </w:rPr>
            <w:t xml:space="preserve"> – </w:t>
          </w:r>
          <w:r w:rsidR="00535801">
            <w:rPr>
              <w:b/>
              <w:sz w:val="20"/>
            </w:rPr>
            <w:t xml:space="preserve">November </w:t>
          </w:r>
          <w:r w:rsidR="00535801" w:rsidRPr="00B450B2">
            <w:rPr>
              <w:b/>
              <w:sz w:val="20"/>
            </w:rPr>
            <w:t>20</w:t>
          </w:r>
          <w:r w:rsidR="00535801">
            <w:rPr>
              <w:b/>
              <w:sz w:val="20"/>
            </w:rPr>
            <w:t>19</w:t>
          </w:r>
          <w:r w:rsidR="00535801" w:rsidRPr="00B450B2">
            <w:rPr>
              <w:b/>
              <w:sz w:val="20"/>
            </w:rPr>
            <w:t>)</w:t>
          </w:r>
        </w:p>
      </w:tc>
    </w:tr>
  </w:tbl>
  <w:p w:rsidR="00663358" w:rsidRDefault="00266DBA">
    <w:pPr>
      <w:pStyle w:val="Intestazione"/>
    </w:pPr>
  </w:p>
  <w:tbl>
    <w:tblPr>
      <w:tblW w:w="151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663358" w:rsidTr="00992E42">
      <w:trPr>
        <w:cantSplit/>
        <w:jc w:val="center"/>
      </w:trPr>
      <w:tc>
        <w:tcPr>
          <w:tcW w:w="641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:rsidR="00663358" w:rsidRDefault="00266DBA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63358" w:rsidTr="00992E42">
      <w:trPr>
        <w:cantSplit/>
        <w:trHeight w:val="1134"/>
        <w:jc w:val="center"/>
      </w:trPr>
      <w:tc>
        <w:tcPr>
          <w:tcW w:w="641" w:type="dxa"/>
          <w:textDirection w:val="tbRl"/>
        </w:tcPr>
        <w:p w:rsidR="00663358" w:rsidRDefault="00336E6D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 xml:space="preserve">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663358" w:rsidRDefault="00266DBA">
    <w:pPr>
      <w:pStyle w:val="Intestazione"/>
      <w:rPr>
        <w:sz w:val="2"/>
      </w:rPr>
    </w:pPr>
  </w:p>
  <w:p w:rsidR="00663358" w:rsidRDefault="00266DBA">
    <w:pPr>
      <w:pStyle w:val="Intestazione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663358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:rsidR="00663358" w:rsidRDefault="00336E6D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63358" w:rsidRDefault="00336E6D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:rsidR="00663358" w:rsidRDefault="00336E6D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:rsidR="00663358" w:rsidRDefault="00266DBA">
    <w:pPr>
      <w:pStyle w:val="Intestazione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663358">
      <w:trPr>
        <w:cantSplit/>
        <w:jc w:val="center"/>
      </w:trPr>
      <w:tc>
        <w:tcPr>
          <w:tcW w:w="53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663358">
      <w:trPr>
        <w:cantSplit/>
        <w:jc w:val="center"/>
      </w:trPr>
      <w:tc>
        <w:tcPr>
          <w:tcW w:w="53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663358" w:rsidRDefault="00266DBA">
    <w:pPr>
      <w:pStyle w:val="Intestazione"/>
      <w:rPr>
        <w:sz w:val="2"/>
      </w:rPr>
    </w:pPr>
  </w:p>
  <w:p w:rsidR="00663358" w:rsidRDefault="00266DBA">
    <w:pPr>
      <w:pStyle w:val="Intestazion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49"/>
    <w:rsid w:val="00042B24"/>
    <w:rsid w:val="00095E89"/>
    <w:rsid w:val="000D401E"/>
    <w:rsid w:val="001178D4"/>
    <w:rsid w:val="001979AF"/>
    <w:rsid w:val="001F304C"/>
    <w:rsid w:val="00266DBA"/>
    <w:rsid w:val="00282526"/>
    <w:rsid w:val="002A4EA4"/>
    <w:rsid w:val="00336E6D"/>
    <w:rsid w:val="0042163F"/>
    <w:rsid w:val="004319D3"/>
    <w:rsid w:val="0046471D"/>
    <w:rsid w:val="004746D7"/>
    <w:rsid w:val="004E179C"/>
    <w:rsid w:val="0051486E"/>
    <w:rsid w:val="00535801"/>
    <w:rsid w:val="005A20DA"/>
    <w:rsid w:val="005C1B44"/>
    <w:rsid w:val="0061586C"/>
    <w:rsid w:val="0068042C"/>
    <w:rsid w:val="006B10EB"/>
    <w:rsid w:val="0072789D"/>
    <w:rsid w:val="00754AAE"/>
    <w:rsid w:val="00787871"/>
    <w:rsid w:val="007F4C69"/>
    <w:rsid w:val="00814D08"/>
    <w:rsid w:val="00841710"/>
    <w:rsid w:val="00844DD1"/>
    <w:rsid w:val="00892260"/>
    <w:rsid w:val="008D0054"/>
    <w:rsid w:val="009F3157"/>
    <w:rsid w:val="00A103EF"/>
    <w:rsid w:val="00A81BAC"/>
    <w:rsid w:val="00AA061B"/>
    <w:rsid w:val="00AB730B"/>
    <w:rsid w:val="00AD3C4F"/>
    <w:rsid w:val="00B34B5E"/>
    <w:rsid w:val="00B743D8"/>
    <w:rsid w:val="00B83756"/>
    <w:rsid w:val="00BA1037"/>
    <w:rsid w:val="00BB238E"/>
    <w:rsid w:val="00BB4963"/>
    <w:rsid w:val="00C00320"/>
    <w:rsid w:val="00C54CFF"/>
    <w:rsid w:val="00D177A1"/>
    <w:rsid w:val="00D25249"/>
    <w:rsid w:val="00D26242"/>
    <w:rsid w:val="00D471DC"/>
    <w:rsid w:val="00DB7D1A"/>
    <w:rsid w:val="00DE4DCD"/>
    <w:rsid w:val="00DF44AB"/>
    <w:rsid w:val="00EB320B"/>
    <w:rsid w:val="00F00D66"/>
    <w:rsid w:val="00F4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5:docId w15:val="{B7442268-417C-41DE-B98C-4AD7131D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Enfasigrassetto">
    <w:name w:val="Strong"/>
    <w:basedOn w:val="Carpredefinitoparagrafo"/>
    <w:uiPriority w:val="22"/>
    <w:qFormat/>
    <w:rsid w:val="00D25249"/>
    <w:rPr>
      <w:b/>
      <w:bCs/>
    </w:rPr>
  </w:style>
  <w:style w:type="character" w:styleId="Enfasicorsivo">
    <w:name w:val="Emphasis"/>
    <w:basedOn w:val="Carpredefinitoparagrafo"/>
    <w:uiPriority w:val="20"/>
    <w:qFormat/>
    <w:rsid w:val="00D25249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D25249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Intestazione">
    <w:name w:val="header"/>
    <w:basedOn w:val="Pidipagina"/>
    <w:link w:val="IntestazioneCarattere"/>
    <w:rsid w:val="00336E6D"/>
  </w:style>
  <w:style w:type="character" w:customStyle="1" w:styleId="IntestazioneCarattere">
    <w:name w:val="Intestazione Carattere"/>
    <w:basedOn w:val="Carpredefinitoparagrafo"/>
    <w:link w:val="Intestazione"/>
    <w:rsid w:val="00336E6D"/>
    <w:rPr>
      <w:rFonts w:ascii="Arial" w:hAnsi="Arial"/>
      <w:sz w:val="22"/>
      <w:lang w:val="en-GB" w:eastAsia="en-US"/>
    </w:rPr>
  </w:style>
  <w:style w:type="paragraph" w:styleId="Pidipagina">
    <w:name w:val="footer"/>
    <w:basedOn w:val="Normale"/>
    <w:link w:val="PidipaginaCarattere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Numeropagina">
    <w:name w:val="page number"/>
    <w:rsid w:val="00336E6D"/>
    <w:rPr>
      <w:sz w:val="20"/>
    </w:rPr>
  </w:style>
  <w:style w:type="paragraph" w:customStyle="1" w:styleId="ISOCommType">
    <w:name w:val="ISO_Comm_Type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Normale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Carpredefinitoparagrafo"/>
    <w:rsid w:val="00336E6D"/>
  </w:style>
  <w:style w:type="paragraph" w:customStyle="1" w:styleId="Default">
    <w:name w:val="Default"/>
    <w:rsid w:val="004746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markedcontent">
    <w:name w:val="markedcontent"/>
    <w:basedOn w:val="Carpredefinitoparagrafo"/>
    <w:rsid w:val="00DF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BSH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Armanino Elena - Funzionario tecnico</cp:lastModifiedBy>
  <cp:revision>15</cp:revision>
  <dcterms:created xsi:type="dcterms:W3CDTF">2020-07-13T17:01:00Z</dcterms:created>
  <dcterms:modified xsi:type="dcterms:W3CDTF">2022-03-16T15:10:00Z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2020-07-13T17:01:32Z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381dae8b-f26b-42e0-8d81-0000e87beb64</vt:lpwstr>
  </property>
</Properties>
</file>