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41B" w:rsidRDefault="0012641B" w:rsidP="0012641B">
      <w:pPr>
        <w:autoSpaceDE w:val="0"/>
        <w:autoSpaceDN w:val="0"/>
        <w:adjustRightInd w:val="0"/>
        <w:jc w:val="center"/>
        <w:rPr>
          <w:rFonts w:ascii="Arial" w:hAnsi="Arial" w:cs="Arial"/>
          <w:b/>
          <w:bCs/>
          <w:color w:val="000000"/>
          <w:szCs w:val="22"/>
        </w:rPr>
      </w:pPr>
      <w:r>
        <w:rPr>
          <w:rFonts w:ascii="Arial" w:hAnsi="Arial" w:cs="Arial"/>
          <w:b/>
          <w:bCs/>
          <w:color w:val="000000"/>
          <w:szCs w:val="22"/>
        </w:rPr>
        <w:t xml:space="preserve">XML of </w:t>
      </w:r>
      <w:proofErr w:type="spellStart"/>
      <w:r>
        <w:rPr>
          <w:rFonts w:ascii="Arial" w:hAnsi="Arial" w:cs="Arial"/>
          <w:b/>
          <w:bCs/>
          <w:color w:val="000000"/>
          <w:szCs w:val="22"/>
        </w:rPr>
        <w:t>NtM</w:t>
      </w:r>
      <w:proofErr w:type="spellEnd"/>
      <w:r>
        <w:rPr>
          <w:rFonts w:ascii="Arial" w:hAnsi="Arial" w:cs="Arial"/>
          <w:b/>
          <w:bCs/>
          <w:color w:val="000000"/>
          <w:szCs w:val="22"/>
        </w:rPr>
        <w:t xml:space="preserve"> NIPWG Workshop</w:t>
      </w:r>
    </w:p>
    <w:p w:rsidR="0012641B" w:rsidRDefault="0012641B" w:rsidP="0012641B">
      <w:pPr>
        <w:autoSpaceDE w:val="0"/>
        <w:autoSpaceDN w:val="0"/>
        <w:adjustRightInd w:val="0"/>
        <w:jc w:val="center"/>
        <w:rPr>
          <w:rFonts w:ascii="Arial" w:hAnsi="Arial" w:cs="Arial"/>
          <w:b/>
          <w:bCs/>
          <w:color w:val="000000"/>
          <w:szCs w:val="22"/>
        </w:rPr>
      </w:pPr>
      <w:r>
        <w:rPr>
          <w:rFonts w:ascii="Arial" w:hAnsi="Arial" w:cs="Arial"/>
          <w:b/>
          <w:bCs/>
          <w:color w:val="000000"/>
          <w:szCs w:val="22"/>
        </w:rPr>
        <w:t>1 – 2 October 2018 – Genova, Italy</w:t>
      </w:r>
    </w:p>
    <w:p w:rsidR="0012641B" w:rsidRDefault="0012641B" w:rsidP="0012641B">
      <w:pPr>
        <w:spacing w:before="252"/>
        <w:rPr>
          <w:rFonts w:ascii="Arial" w:hAnsi="Arial" w:cs="Arial"/>
          <w:spacing w:val="4"/>
          <w:szCs w:val="22"/>
        </w:rPr>
      </w:pPr>
    </w:p>
    <w:p w:rsidR="0012641B" w:rsidRDefault="0012641B" w:rsidP="0012641B">
      <w:pPr>
        <w:autoSpaceDE w:val="0"/>
        <w:autoSpaceDN w:val="0"/>
        <w:adjustRightInd w:val="0"/>
        <w:rPr>
          <w:rFonts w:ascii="Arial" w:hAnsi="Arial" w:cs="Arial"/>
          <w:color w:val="000000"/>
          <w:szCs w:val="22"/>
        </w:rPr>
      </w:pPr>
    </w:p>
    <w:p w:rsidR="0012641B" w:rsidRDefault="0012641B" w:rsidP="0012641B">
      <w:pPr>
        <w:tabs>
          <w:tab w:val="center" w:pos="4535"/>
        </w:tabs>
        <w:autoSpaceDE w:val="0"/>
        <w:autoSpaceDN w:val="0"/>
        <w:adjustRightInd w:val="0"/>
        <w:rPr>
          <w:rFonts w:ascii="Arial" w:hAnsi="Arial" w:cs="Arial"/>
          <w:color w:val="000000"/>
          <w:szCs w:val="22"/>
        </w:rPr>
      </w:pPr>
    </w:p>
    <w:p w:rsidR="0012641B" w:rsidRDefault="0012641B" w:rsidP="0012641B">
      <w:pPr>
        <w:autoSpaceDE w:val="0"/>
        <w:autoSpaceDN w:val="0"/>
        <w:adjustRightInd w:val="0"/>
        <w:rPr>
          <w:rFonts w:ascii="Arial" w:hAnsi="Arial" w:cs="Arial"/>
          <w:color w:val="000000"/>
          <w:szCs w:val="22"/>
        </w:rPr>
      </w:pPr>
      <w:r>
        <w:rPr>
          <w:rFonts w:ascii="Arial" w:hAnsi="Arial" w:cs="Arial"/>
          <w:color w:val="000000"/>
          <w:szCs w:val="22"/>
        </w:rPr>
        <w:t xml:space="preserve">Annex </w:t>
      </w:r>
      <w:r w:rsidR="006F3F56">
        <w:rPr>
          <w:rFonts w:ascii="Arial" w:hAnsi="Arial" w:cs="Arial"/>
          <w:color w:val="000000"/>
          <w:szCs w:val="22"/>
        </w:rPr>
        <w:t>A</w:t>
      </w:r>
      <w:r>
        <w:rPr>
          <w:rFonts w:ascii="Arial" w:hAnsi="Arial" w:cs="Arial"/>
          <w:color w:val="000000"/>
          <w:szCs w:val="22"/>
        </w:rPr>
        <w:t>: List of Attendees</w:t>
      </w:r>
    </w:p>
    <w:p w:rsidR="00BD2842" w:rsidRDefault="00BD2842" w:rsidP="0012641B">
      <w:pPr>
        <w:autoSpaceDE w:val="0"/>
        <w:autoSpaceDN w:val="0"/>
        <w:adjustRightInd w:val="0"/>
        <w:rPr>
          <w:rFonts w:ascii="Arial" w:hAnsi="Arial" w:cs="Arial"/>
          <w:color w:val="000000"/>
          <w:szCs w:val="22"/>
        </w:rPr>
      </w:pPr>
      <w:r>
        <w:rPr>
          <w:rFonts w:ascii="Arial" w:hAnsi="Arial" w:cs="Arial"/>
          <w:color w:val="000000"/>
          <w:szCs w:val="22"/>
        </w:rPr>
        <w:t>Annex B: List of Actions</w:t>
      </w:r>
    </w:p>
    <w:p w:rsidR="00BD2842" w:rsidRDefault="00BD2842" w:rsidP="0012641B">
      <w:pPr>
        <w:autoSpaceDE w:val="0"/>
        <w:autoSpaceDN w:val="0"/>
        <w:adjustRightInd w:val="0"/>
        <w:rPr>
          <w:rFonts w:ascii="Arial" w:hAnsi="Arial" w:cs="Arial"/>
          <w:color w:val="000000"/>
          <w:szCs w:val="22"/>
        </w:rPr>
      </w:pPr>
      <w:r>
        <w:rPr>
          <w:rFonts w:ascii="Arial" w:hAnsi="Arial" w:cs="Arial"/>
          <w:color w:val="000000"/>
          <w:szCs w:val="22"/>
        </w:rPr>
        <w:t>Annex C: Developed UML diagram</w:t>
      </w:r>
    </w:p>
    <w:p w:rsidR="0012641B" w:rsidRDefault="0012641B" w:rsidP="0012641B">
      <w:pPr>
        <w:autoSpaceDE w:val="0"/>
        <w:autoSpaceDN w:val="0"/>
        <w:adjustRightInd w:val="0"/>
        <w:rPr>
          <w:rFonts w:ascii="Arial" w:hAnsi="Arial" w:cs="Arial"/>
          <w:b/>
          <w:bCs/>
          <w:color w:val="000000"/>
          <w:szCs w:val="22"/>
        </w:rPr>
      </w:pPr>
    </w:p>
    <w:p w:rsidR="0012641B" w:rsidRDefault="0012641B" w:rsidP="0012641B">
      <w:pPr>
        <w:autoSpaceDE w:val="0"/>
        <w:autoSpaceDN w:val="0"/>
        <w:adjustRightInd w:val="0"/>
        <w:rPr>
          <w:rFonts w:ascii="Arial" w:hAnsi="Arial" w:cs="Arial"/>
          <w:b/>
          <w:bCs/>
          <w:i/>
          <w:iCs/>
          <w:color w:val="000000"/>
          <w:szCs w:val="22"/>
        </w:rPr>
      </w:pPr>
      <w:r>
        <w:rPr>
          <w:rFonts w:ascii="Arial" w:hAnsi="Arial" w:cs="Arial"/>
          <w:b/>
          <w:bCs/>
          <w:i/>
          <w:iCs/>
          <w:color w:val="000000"/>
          <w:szCs w:val="22"/>
        </w:rPr>
        <w:t>1.1 Opening remarks</w:t>
      </w:r>
    </w:p>
    <w:p w:rsidR="0012641B" w:rsidRDefault="0012641B" w:rsidP="0012641B">
      <w:pPr>
        <w:autoSpaceDE w:val="0"/>
        <w:autoSpaceDN w:val="0"/>
        <w:adjustRightInd w:val="0"/>
        <w:rPr>
          <w:rFonts w:ascii="Arial" w:hAnsi="Arial" w:cs="Arial"/>
          <w:szCs w:val="22"/>
        </w:rPr>
      </w:pPr>
    </w:p>
    <w:p w:rsidR="0012641B" w:rsidRDefault="0012641B" w:rsidP="0012641B">
      <w:pPr>
        <w:autoSpaceDE w:val="0"/>
        <w:autoSpaceDN w:val="0"/>
        <w:adjustRightInd w:val="0"/>
        <w:jc w:val="both"/>
        <w:rPr>
          <w:rFonts w:ascii="Arial" w:hAnsi="Arial" w:cs="Arial"/>
          <w:color w:val="222222"/>
          <w:szCs w:val="22"/>
          <w:shd w:val="clear" w:color="auto" w:fill="FFFFFF"/>
        </w:rPr>
      </w:pPr>
      <w:r>
        <w:rPr>
          <w:rFonts w:ascii="Arial" w:hAnsi="Arial" w:cs="Arial"/>
          <w:szCs w:val="22"/>
        </w:rPr>
        <w:t xml:space="preserve">Jens SCHRÖDER-FÜRSTENBERG opened </w:t>
      </w:r>
      <w:r w:rsidR="008C39BE">
        <w:rPr>
          <w:rFonts w:ascii="Arial" w:hAnsi="Arial" w:cs="Arial"/>
          <w:szCs w:val="22"/>
        </w:rPr>
        <w:t xml:space="preserve">the workshop </w:t>
      </w:r>
      <w:r>
        <w:rPr>
          <w:rFonts w:ascii="Arial" w:hAnsi="Arial" w:cs="Arial"/>
          <w:szCs w:val="22"/>
        </w:rPr>
        <w:t xml:space="preserve">by welcoming </w:t>
      </w:r>
      <w:r w:rsidR="008C39BE">
        <w:rPr>
          <w:rFonts w:ascii="Arial" w:hAnsi="Arial" w:cs="Arial"/>
          <w:szCs w:val="22"/>
        </w:rPr>
        <w:t>the XML experts.</w:t>
      </w:r>
      <w:r w:rsidR="008C39BE" w:rsidRPr="008C39BE">
        <w:rPr>
          <w:rFonts w:ascii="Arial" w:hAnsi="Arial" w:cs="Arial"/>
          <w:color w:val="222222"/>
          <w:szCs w:val="22"/>
          <w:shd w:val="clear" w:color="auto" w:fill="FFFFFF"/>
        </w:rPr>
        <w:t xml:space="preserve"> </w:t>
      </w:r>
      <w:r w:rsidR="008C39BE">
        <w:rPr>
          <w:rFonts w:ascii="Arial" w:hAnsi="Arial" w:cs="Arial"/>
          <w:color w:val="222222"/>
          <w:szCs w:val="22"/>
          <w:shd w:val="clear" w:color="auto" w:fill="FFFFFF"/>
        </w:rPr>
        <w:t>He thanked the Italian Hydrographic Office for organizing the meeting.</w:t>
      </w:r>
    </w:p>
    <w:p w:rsidR="008C39BE" w:rsidRDefault="008C39BE" w:rsidP="0012641B">
      <w:pPr>
        <w:autoSpaceDE w:val="0"/>
        <w:autoSpaceDN w:val="0"/>
        <w:adjustRightInd w:val="0"/>
        <w:jc w:val="both"/>
        <w:rPr>
          <w:rFonts w:ascii="Arial" w:hAnsi="Arial" w:cs="Arial"/>
          <w:szCs w:val="22"/>
        </w:rPr>
      </w:pPr>
    </w:p>
    <w:p w:rsidR="0012641B" w:rsidRPr="00CC4DF2" w:rsidRDefault="0012641B" w:rsidP="0012641B">
      <w:pPr>
        <w:autoSpaceDE w:val="0"/>
        <w:autoSpaceDN w:val="0"/>
        <w:adjustRightInd w:val="0"/>
        <w:jc w:val="both"/>
        <w:rPr>
          <w:rFonts w:ascii="Arial" w:hAnsi="Arial" w:cs="Arial"/>
          <w:szCs w:val="22"/>
        </w:rPr>
      </w:pPr>
      <w:r w:rsidRPr="00CC4DF2">
        <w:rPr>
          <w:rFonts w:ascii="Arial" w:hAnsi="Arial" w:cs="Arial"/>
          <w:szCs w:val="22"/>
        </w:rPr>
        <w:t xml:space="preserve">Logistics and building safety </w:t>
      </w:r>
      <w:r>
        <w:rPr>
          <w:rFonts w:ascii="Arial" w:hAnsi="Arial" w:cs="Arial"/>
          <w:szCs w:val="22"/>
        </w:rPr>
        <w:t>were also discussed.</w:t>
      </w:r>
    </w:p>
    <w:p w:rsidR="0012641B" w:rsidRPr="00A73656" w:rsidRDefault="0012641B" w:rsidP="0012641B">
      <w:pPr>
        <w:autoSpaceDE w:val="0"/>
        <w:autoSpaceDN w:val="0"/>
        <w:adjustRightInd w:val="0"/>
        <w:rPr>
          <w:rFonts w:ascii="Arial" w:hAnsi="Arial" w:cs="Arial"/>
          <w:color w:val="000000"/>
          <w:szCs w:val="22"/>
        </w:rPr>
      </w:pPr>
    </w:p>
    <w:p w:rsidR="0012641B" w:rsidRPr="00912C16" w:rsidRDefault="0012641B" w:rsidP="0012641B">
      <w:pPr>
        <w:autoSpaceDE w:val="0"/>
        <w:autoSpaceDN w:val="0"/>
        <w:adjustRightInd w:val="0"/>
        <w:rPr>
          <w:rFonts w:ascii="Arial" w:hAnsi="Arial" w:cs="Arial"/>
          <w:szCs w:val="22"/>
        </w:rPr>
      </w:pPr>
    </w:p>
    <w:p w:rsidR="0012641B" w:rsidRDefault="0012641B" w:rsidP="0012641B">
      <w:pPr>
        <w:autoSpaceDE w:val="0"/>
        <w:autoSpaceDN w:val="0"/>
        <w:adjustRightInd w:val="0"/>
        <w:rPr>
          <w:rFonts w:ascii="Arial" w:hAnsi="Arial" w:cs="Arial"/>
          <w:b/>
          <w:bCs/>
          <w:i/>
          <w:iCs/>
          <w:color w:val="000000"/>
          <w:szCs w:val="22"/>
        </w:rPr>
      </w:pPr>
      <w:r w:rsidRPr="006707F3">
        <w:rPr>
          <w:rFonts w:ascii="Arial" w:hAnsi="Arial" w:cs="Arial"/>
          <w:b/>
          <w:bCs/>
          <w:i/>
          <w:iCs/>
          <w:color w:val="000000"/>
          <w:szCs w:val="22"/>
        </w:rPr>
        <w:t>1.</w:t>
      </w:r>
      <w:r>
        <w:rPr>
          <w:rFonts w:ascii="Arial" w:hAnsi="Arial" w:cs="Arial"/>
          <w:b/>
          <w:bCs/>
          <w:i/>
          <w:iCs/>
          <w:color w:val="000000"/>
          <w:szCs w:val="22"/>
        </w:rPr>
        <w:t>3 Introductions</w:t>
      </w:r>
    </w:p>
    <w:p w:rsidR="0012641B" w:rsidRPr="00F50288" w:rsidRDefault="0012641B" w:rsidP="0012641B">
      <w:pPr>
        <w:autoSpaceDE w:val="0"/>
        <w:autoSpaceDN w:val="0"/>
        <w:adjustRightInd w:val="0"/>
        <w:jc w:val="both"/>
        <w:rPr>
          <w:rFonts w:ascii="Arial" w:hAnsi="Arial" w:cs="Arial"/>
          <w:szCs w:val="22"/>
        </w:rPr>
      </w:pPr>
    </w:p>
    <w:p w:rsidR="0012641B" w:rsidRDefault="008C39BE" w:rsidP="0012641B">
      <w:pPr>
        <w:autoSpaceDE w:val="0"/>
        <w:autoSpaceDN w:val="0"/>
        <w:adjustRightInd w:val="0"/>
        <w:jc w:val="both"/>
        <w:rPr>
          <w:rFonts w:ascii="Arial" w:hAnsi="Arial" w:cs="Arial"/>
          <w:color w:val="000000"/>
          <w:szCs w:val="22"/>
        </w:rPr>
      </w:pPr>
      <w:r>
        <w:rPr>
          <w:rFonts w:ascii="Arial" w:hAnsi="Arial" w:cs="Arial"/>
          <w:color w:val="000000"/>
          <w:szCs w:val="22"/>
        </w:rPr>
        <w:t xml:space="preserve">A brief introduction of the intended outcome of the workshop was given. The NIPWG chair highlighted the known limitations of the common XML. </w:t>
      </w:r>
    </w:p>
    <w:p w:rsidR="0012641B" w:rsidRDefault="0012641B" w:rsidP="0012641B">
      <w:pPr>
        <w:rPr>
          <w:rFonts w:ascii="Arial" w:hAnsi="Arial" w:cs="Arial"/>
          <w:b/>
          <w:bCs/>
          <w:color w:val="000000"/>
          <w:sz w:val="26"/>
          <w:szCs w:val="26"/>
        </w:rPr>
      </w:pPr>
    </w:p>
    <w:p w:rsidR="0012641B" w:rsidRDefault="0012641B" w:rsidP="0012641B">
      <w:pPr>
        <w:rPr>
          <w:rFonts w:ascii="Arial" w:hAnsi="Arial" w:cs="Arial"/>
          <w:b/>
          <w:bCs/>
          <w:color w:val="000000"/>
          <w:sz w:val="26"/>
          <w:szCs w:val="26"/>
        </w:rPr>
      </w:pPr>
      <w:r>
        <w:rPr>
          <w:rFonts w:ascii="Arial" w:hAnsi="Arial" w:cs="Arial"/>
          <w:b/>
          <w:bCs/>
          <w:color w:val="000000"/>
          <w:sz w:val="26"/>
          <w:szCs w:val="26"/>
        </w:rPr>
        <w:t xml:space="preserve">2. Adoption of </w:t>
      </w:r>
      <w:r w:rsidR="008C39BE">
        <w:rPr>
          <w:rFonts w:ascii="Arial" w:hAnsi="Arial" w:cs="Arial"/>
          <w:b/>
          <w:bCs/>
          <w:color w:val="000000"/>
          <w:sz w:val="26"/>
          <w:szCs w:val="26"/>
        </w:rPr>
        <w:t xml:space="preserve">Workshop </w:t>
      </w:r>
      <w:r>
        <w:rPr>
          <w:rFonts w:ascii="Arial" w:hAnsi="Arial" w:cs="Arial"/>
          <w:b/>
          <w:bCs/>
          <w:color w:val="000000"/>
          <w:sz w:val="26"/>
          <w:szCs w:val="26"/>
        </w:rPr>
        <w:t>Agenda</w:t>
      </w:r>
    </w:p>
    <w:p w:rsidR="0012641B" w:rsidRDefault="0012641B"/>
    <w:p w:rsidR="008C39BE" w:rsidRPr="0012641B" w:rsidRDefault="008C39BE">
      <w:r>
        <w:t xml:space="preserve">The meeting agreed at the proposed agenda.  A particular agenda will not be provided as an annex. The Agenda followed the discussion structure of these minutes. </w:t>
      </w:r>
    </w:p>
    <w:p w:rsidR="0012641B" w:rsidRPr="0012641B" w:rsidRDefault="0012641B"/>
    <w:p w:rsidR="008C39BE" w:rsidRPr="008C39BE" w:rsidRDefault="008C39BE" w:rsidP="008C39BE">
      <w:pPr>
        <w:rPr>
          <w:rFonts w:ascii="Arial" w:hAnsi="Arial" w:cs="Arial"/>
          <w:b/>
          <w:bCs/>
          <w:color w:val="000000"/>
          <w:sz w:val="26"/>
          <w:szCs w:val="26"/>
        </w:rPr>
      </w:pPr>
      <w:r>
        <w:rPr>
          <w:rFonts w:ascii="Arial" w:hAnsi="Arial" w:cs="Arial"/>
          <w:b/>
          <w:bCs/>
          <w:color w:val="000000"/>
          <w:sz w:val="26"/>
          <w:szCs w:val="26"/>
        </w:rPr>
        <w:t>3</w:t>
      </w:r>
      <w:r w:rsidR="005D12C3">
        <w:rPr>
          <w:rFonts w:ascii="Arial" w:hAnsi="Arial" w:cs="Arial"/>
          <w:b/>
          <w:bCs/>
          <w:color w:val="000000"/>
          <w:sz w:val="26"/>
          <w:szCs w:val="26"/>
        </w:rPr>
        <w:t>.</w:t>
      </w:r>
      <w:r w:rsidRPr="008C39BE">
        <w:rPr>
          <w:rFonts w:ascii="Arial" w:hAnsi="Arial" w:cs="Arial"/>
          <w:b/>
          <w:bCs/>
          <w:color w:val="000000"/>
          <w:sz w:val="26"/>
          <w:szCs w:val="26"/>
        </w:rPr>
        <w:t xml:space="preserve"> Description of current data exchange between neighbouring hydrographic offices </w:t>
      </w:r>
    </w:p>
    <w:p w:rsidR="00755384" w:rsidRPr="0012641B" w:rsidRDefault="00755384"/>
    <w:p w:rsidR="00755384" w:rsidRDefault="00154FE8">
      <w:pPr>
        <w:rPr>
          <w:noProof/>
        </w:rPr>
      </w:pPr>
      <w:r>
        <w:t>1) Initiating HO</w:t>
      </w:r>
      <w:r>
        <w:rPr>
          <w:noProof/>
        </w:rPr>
        <w:sym w:font="Wingdings" w:char="F0E0"/>
      </w:r>
      <w:r>
        <w:rPr>
          <w:noProof/>
        </w:rPr>
        <w:t>2) translation work</w:t>
      </w:r>
      <w:r>
        <w:rPr>
          <w:noProof/>
        </w:rPr>
        <w:sym w:font="Wingdings" w:char="F0E0"/>
      </w:r>
      <w:r>
        <w:rPr>
          <w:noProof/>
        </w:rPr>
        <w:t>3) consuming HO</w:t>
      </w:r>
    </w:p>
    <w:p w:rsidR="00154FE8" w:rsidRDefault="00154FE8">
      <w:pPr>
        <w:rPr>
          <w:noProof/>
        </w:rPr>
      </w:pPr>
    </w:p>
    <w:p w:rsidR="00154FE8" w:rsidRDefault="00154FE8" w:rsidP="00C467E2">
      <w:pPr>
        <w:pStyle w:val="Listenabsatz"/>
        <w:numPr>
          <w:ilvl w:val="0"/>
          <w:numId w:val="5"/>
        </w:numPr>
        <w:rPr>
          <w:noProof/>
        </w:rPr>
      </w:pPr>
      <w:r>
        <w:rPr>
          <w:noProof/>
        </w:rPr>
        <w:t>digital versions (Excel, XML), printed versions</w:t>
      </w:r>
    </w:p>
    <w:p w:rsidR="00154FE8" w:rsidRDefault="00154FE8" w:rsidP="00C467E2">
      <w:pPr>
        <w:pStyle w:val="Listenabsatz"/>
        <w:numPr>
          <w:ilvl w:val="0"/>
          <w:numId w:val="5"/>
        </w:numPr>
        <w:rPr>
          <w:noProof/>
        </w:rPr>
      </w:pPr>
      <w:r>
        <w:rPr>
          <w:noProof/>
        </w:rPr>
        <w:t xml:space="preserve">done by external organisation or by consuming HO </w:t>
      </w:r>
    </w:p>
    <w:p w:rsidR="00154FE8" w:rsidRDefault="00154FE8" w:rsidP="00C467E2">
      <w:pPr>
        <w:pStyle w:val="Listenabsatz"/>
        <w:numPr>
          <w:ilvl w:val="0"/>
          <w:numId w:val="5"/>
        </w:numPr>
        <w:rPr>
          <w:noProof/>
        </w:rPr>
      </w:pPr>
      <w:r>
        <w:rPr>
          <w:noProof/>
        </w:rPr>
        <w:t>make translations, convert information into inte</w:t>
      </w:r>
      <w:r w:rsidR="00FC239D">
        <w:rPr>
          <w:noProof/>
        </w:rPr>
        <w:t>r</w:t>
      </w:r>
      <w:r>
        <w:rPr>
          <w:noProof/>
        </w:rPr>
        <w:t>ntal file format</w:t>
      </w:r>
    </w:p>
    <w:p w:rsidR="00154FE8" w:rsidRDefault="00154FE8">
      <w:pPr>
        <w:rPr>
          <w:noProof/>
        </w:rPr>
      </w:pPr>
    </w:p>
    <w:p w:rsidR="00154FE8" w:rsidRDefault="00154FE8">
      <w:pPr>
        <w:rPr>
          <w:noProof/>
        </w:rPr>
      </w:pPr>
    </w:p>
    <w:p w:rsidR="00154FE8" w:rsidRPr="005D12C3" w:rsidRDefault="005D12C3">
      <w:pPr>
        <w:rPr>
          <w:rFonts w:ascii="Arial" w:hAnsi="Arial" w:cs="Arial"/>
          <w:b/>
          <w:bCs/>
          <w:color w:val="000000"/>
          <w:sz w:val="26"/>
          <w:szCs w:val="26"/>
        </w:rPr>
      </w:pPr>
      <w:r>
        <w:rPr>
          <w:rFonts w:ascii="Arial" w:hAnsi="Arial" w:cs="Arial"/>
          <w:b/>
          <w:bCs/>
          <w:color w:val="000000"/>
          <w:sz w:val="26"/>
          <w:szCs w:val="26"/>
        </w:rPr>
        <w:t xml:space="preserve">4. </w:t>
      </w:r>
      <w:r w:rsidR="00154FE8" w:rsidRPr="005D12C3">
        <w:rPr>
          <w:rFonts w:ascii="Arial" w:hAnsi="Arial" w:cs="Arial"/>
          <w:b/>
          <w:bCs/>
          <w:color w:val="000000"/>
          <w:sz w:val="26"/>
          <w:szCs w:val="26"/>
        </w:rPr>
        <w:t>Application of current data exchange into the digital environment</w:t>
      </w:r>
    </w:p>
    <w:p w:rsidR="00154FE8" w:rsidRDefault="00154FE8"/>
    <w:p w:rsidR="00154FE8" w:rsidRDefault="00E20062" w:rsidP="00C467E2">
      <w:pPr>
        <w:pStyle w:val="Listenabsatz"/>
        <w:numPr>
          <w:ilvl w:val="0"/>
          <w:numId w:val="2"/>
        </w:numPr>
      </w:pPr>
      <w:r>
        <w:t>The XML should be p</w:t>
      </w:r>
      <w:r w:rsidR="005D12C3">
        <w:t xml:space="preserve">roduct neutral, no stylesheets. </w:t>
      </w:r>
    </w:p>
    <w:p w:rsidR="00E20062" w:rsidRDefault="00E20062" w:rsidP="00C467E2">
      <w:pPr>
        <w:pStyle w:val="Listenabsatz"/>
        <w:numPr>
          <w:ilvl w:val="0"/>
          <w:numId w:val="2"/>
        </w:numPr>
      </w:pPr>
      <w:r>
        <w:t>Data centric provision of XML</w:t>
      </w:r>
    </w:p>
    <w:p w:rsidR="00E20062" w:rsidRDefault="00E20062" w:rsidP="00C467E2">
      <w:pPr>
        <w:pStyle w:val="Listenabsatz"/>
        <w:numPr>
          <w:ilvl w:val="0"/>
          <w:numId w:val="2"/>
        </w:numPr>
      </w:pPr>
      <w:r>
        <w:t>The output layout structure should be on the consuming HO</w:t>
      </w:r>
    </w:p>
    <w:p w:rsidR="00E20062" w:rsidRDefault="00E20062" w:rsidP="00C467E2">
      <w:pPr>
        <w:pStyle w:val="Listenabsatz"/>
        <w:numPr>
          <w:ilvl w:val="0"/>
          <w:numId w:val="2"/>
        </w:numPr>
      </w:pPr>
      <w:r>
        <w:t xml:space="preserve">Basic style information supporting visualisation </w:t>
      </w:r>
      <w:r w:rsidR="00FC239D">
        <w:t xml:space="preserve">is </w:t>
      </w:r>
      <w:r>
        <w:t>allowed</w:t>
      </w:r>
    </w:p>
    <w:p w:rsidR="00CF1882" w:rsidRDefault="00CF1882" w:rsidP="00C467E2">
      <w:pPr>
        <w:pStyle w:val="Listenabsatz"/>
        <w:numPr>
          <w:ilvl w:val="0"/>
          <w:numId w:val="2"/>
        </w:numPr>
      </w:pPr>
      <w:r>
        <w:t>Position discussion: Considering that the way of providing position is important</w:t>
      </w:r>
      <w:r w:rsidR="004B7C60">
        <w:t xml:space="preserve"> for information accuracy, </w:t>
      </w:r>
      <w:r>
        <w:t xml:space="preserve">the initiating HO should provide information on the data accuracy </w:t>
      </w:r>
    </w:p>
    <w:p w:rsidR="00E20062" w:rsidRDefault="00E20062"/>
    <w:p w:rsidR="00E20062" w:rsidRPr="00C467E2" w:rsidRDefault="00C467E2">
      <w:pPr>
        <w:rPr>
          <w:rFonts w:ascii="Arial" w:hAnsi="Arial" w:cs="Arial"/>
          <w:b/>
          <w:bCs/>
          <w:color w:val="000000"/>
          <w:sz w:val="26"/>
          <w:szCs w:val="26"/>
        </w:rPr>
      </w:pPr>
      <w:r>
        <w:rPr>
          <w:rFonts w:ascii="Arial" w:hAnsi="Arial" w:cs="Arial"/>
          <w:b/>
          <w:bCs/>
          <w:color w:val="000000"/>
          <w:sz w:val="26"/>
          <w:szCs w:val="26"/>
        </w:rPr>
        <w:t xml:space="preserve">5. </w:t>
      </w:r>
      <w:r w:rsidR="004C5855" w:rsidRPr="00C467E2">
        <w:rPr>
          <w:rFonts w:ascii="Arial" w:hAnsi="Arial" w:cs="Arial"/>
          <w:b/>
          <w:bCs/>
          <w:color w:val="000000"/>
          <w:sz w:val="26"/>
          <w:szCs w:val="26"/>
        </w:rPr>
        <w:t xml:space="preserve">Check of common </w:t>
      </w:r>
      <w:proofErr w:type="spellStart"/>
      <w:r w:rsidR="004C5855" w:rsidRPr="00C467E2">
        <w:rPr>
          <w:rFonts w:ascii="Arial" w:hAnsi="Arial" w:cs="Arial"/>
          <w:b/>
          <w:bCs/>
          <w:color w:val="000000"/>
          <w:sz w:val="26"/>
          <w:szCs w:val="26"/>
        </w:rPr>
        <w:t>NtM</w:t>
      </w:r>
      <w:proofErr w:type="spellEnd"/>
      <w:r w:rsidR="004C5855" w:rsidRPr="00C467E2">
        <w:rPr>
          <w:rFonts w:ascii="Arial" w:hAnsi="Arial" w:cs="Arial"/>
          <w:b/>
          <w:bCs/>
          <w:color w:val="000000"/>
          <w:sz w:val="26"/>
          <w:szCs w:val="26"/>
        </w:rPr>
        <w:t xml:space="preserve"> Content</w:t>
      </w:r>
    </w:p>
    <w:p w:rsidR="004C5855" w:rsidRDefault="004C5855"/>
    <w:p w:rsidR="004C5855" w:rsidRDefault="00B05B19">
      <w:r>
        <w:t>A common XML model was developed and adopted. A</w:t>
      </w:r>
      <w:r w:rsidR="00C467E2">
        <w:t>n</w:t>
      </w:r>
      <w:r w:rsidR="004C5855">
        <w:t xml:space="preserve"> XSD </w:t>
      </w:r>
      <w:r w:rsidR="000C0613">
        <w:t xml:space="preserve">will be created to validate the XML. </w:t>
      </w:r>
    </w:p>
    <w:p w:rsidR="000C0613" w:rsidRDefault="000C0613"/>
    <w:p w:rsidR="004C5855" w:rsidRDefault="004C5855">
      <w:r>
        <w:t>Agreement was made on:</w:t>
      </w:r>
    </w:p>
    <w:p w:rsidR="004C5855" w:rsidRDefault="000C0613" w:rsidP="004C5855">
      <w:pPr>
        <w:pStyle w:val="Listenabsatz"/>
        <w:numPr>
          <w:ilvl w:val="0"/>
          <w:numId w:val="1"/>
        </w:numPr>
      </w:pPr>
      <w:r>
        <w:t>p</w:t>
      </w:r>
      <w:r w:rsidR="004C5855">
        <w:t>osition</w:t>
      </w:r>
      <w:r w:rsidRPr="000C0613">
        <w:t xml:space="preserve"> </w:t>
      </w:r>
      <w:r>
        <w:t>data model</w:t>
      </w:r>
    </w:p>
    <w:p w:rsidR="004C5855" w:rsidRDefault="00B05B19" w:rsidP="004C5855">
      <w:pPr>
        <w:pStyle w:val="Listenabsatz"/>
        <w:numPr>
          <w:ilvl w:val="1"/>
          <w:numId w:val="1"/>
        </w:numPr>
      </w:pPr>
      <w:r>
        <w:lastRenderedPageBreak/>
        <w:t xml:space="preserve">Provision of description of </w:t>
      </w:r>
      <w:bookmarkStart w:id="0" w:name="_GoBack"/>
      <w:bookmarkEnd w:id="0"/>
      <w:r w:rsidR="004C5855">
        <w:t xml:space="preserve">positions </w:t>
      </w:r>
      <w:r w:rsidR="00FC239D">
        <w:t>allowed</w:t>
      </w:r>
    </w:p>
    <w:p w:rsidR="004C5855" w:rsidRDefault="004C5855" w:rsidP="004C5855">
      <w:pPr>
        <w:pStyle w:val="Listenabsatz"/>
        <w:numPr>
          <w:ilvl w:val="1"/>
          <w:numId w:val="1"/>
        </w:numPr>
      </w:pPr>
      <w:r>
        <w:t>Use of plus and minus to distinguish between hemispheres</w:t>
      </w:r>
    </w:p>
    <w:p w:rsidR="004C5855" w:rsidRDefault="004C5855" w:rsidP="004C5855">
      <w:pPr>
        <w:pStyle w:val="Listenabsatz"/>
        <w:numPr>
          <w:ilvl w:val="1"/>
          <w:numId w:val="1"/>
        </w:numPr>
      </w:pPr>
      <w:r>
        <w:t>Provision of position is optional (considering P&amp;T Messages)</w:t>
      </w:r>
    </w:p>
    <w:p w:rsidR="004C5855" w:rsidRDefault="004C5855" w:rsidP="004C5855">
      <w:pPr>
        <w:pStyle w:val="Listenabsatz"/>
        <w:numPr>
          <w:ilvl w:val="1"/>
          <w:numId w:val="1"/>
        </w:numPr>
      </w:pPr>
      <w:r>
        <w:t xml:space="preserve">Spatial indications should be provided </w:t>
      </w:r>
      <w:r w:rsidR="000C0613">
        <w:t xml:space="preserve">as optional </w:t>
      </w:r>
    </w:p>
    <w:p w:rsidR="000C0613" w:rsidRDefault="000C0613" w:rsidP="000C0613">
      <w:pPr>
        <w:pStyle w:val="Listenabsatz"/>
        <w:numPr>
          <w:ilvl w:val="0"/>
          <w:numId w:val="1"/>
        </w:numPr>
      </w:pPr>
      <w:r>
        <w:t>Location description</w:t>
      </w:r>
    </w:p>
    <w:p w:rsidR="000C0613" w:rsidRDefault="000C0613" w:rsidP="000C0613">
      <w:pPr>
        <w:pStyle w:val="Listenabsatz"/>
        <w:numPr>
          <w:ilvl w:val="1"/>
          <w:numId w:val="1"/>
        </w:numPr>
      </w:pPr>
      <w:r>
        <w:t>Three tags will be used (area, region, vicinity) optionally</w:t>
      </w:r>
    </w:p>
    <w:p w:rsidR="000C0613" w:rsidRDefault="000C0613" w:rsidP="000C0613">
      <w:pPr>
        <w:pStyle w:val="Listenabsatz"/>
        <w:numPr>
          <w:ilvl w:val="1"/>
          <w:numId w:val="1"/>
        </w:numPr>
      </w:pPr>
      <w:r>
        <w:t>The providing</w:t>
      </w:r>
      <w:r w:rsidR="00B05B19">
        <w:t xml:space="preserve"> HO ensures that the tags will </w:t>
      </w:r>
      <w:r>
        <w:t>be delivered in English, noting that S-4 requires national naming of these tags</w:t>
      </w:r>
    </w:p>
    <w:p w:rsidR="000C0613" w:rsidRDefault="000C0613" w:rsidP="000C0613">
      <w:pPr>
        <w:pStyle w:val="Listenabsatz"/>
        <w:numPr>
          <w:ilvl w:val="0"/>
          <w:numId w:val="1"/>
        </w:numPr>
      </w:pPr>
      <w:r>
        <w:t>P&amp;T messages</w:t>
      </w:r>
    </w:p>
    <w:p w:rsidR="000C0613" w:rsidRDefault="000C0613" w:rsidP="000C0613">
      <w:pPr>
        <w:pStyle w:val="Listenabsatz"/>
        <w:numPr>
          <w:ilvl w:val="1"/>
          <w:numId w:val="1"/>
        </w:numPr>
      </w:pPr>
      <w:r>
        <w:t>Will be managed as normal chart correction, noting that they might have no positions and contain text</w:t>
      </w:r>
    </w:p>
    <w:p w:rsidR="000C0613" w:rsidRDefault="000C0613" w:rsidP="000C0613">
      <w:pPr>
        <w:pStyle w:val="Listenabsatz"/>
        <w:numPr>
          <w:ilvl w:val="0"/>
          <w:numId w:val="1"/>
        </w:numPr>
      </w:pPr>
      <w:r>
        <w:t>Indication of national source (</w:t>
      </w:r>
      <w:proofErr w:type="spellStart"/>
      <w:r w:rsidR="00FC239D">
        <w:t>Asterix</w:t>
      </w:r>
      <w:proofErr w:type="spellEnd"/>
      <w:r>
        <w:t>)</w:t>
      </w:r>
    </w:p>
    <w:p w:rsidR="000C0613" w:rsidRDefault="000C0613" w:rsidP="000C0613">
      <w:pPr>
        <w:pStyle w:val="Listenabsatz"/>
        <w:numPr>
          <w:ilvl w:val="1"/>
          <w:numId w:val="1"/>
        </w:numPr>
      </w:pPr>
      <w:r>
        <w:t xml:space="preserve">Needed to asses relevance of the notice  by consuming HO </w:t>
      </w:r>
    </w:p>
    <w:p w:rsidR="000C0613" w:rsidRDefault="002A69DC" w:rsidP="000C0613">
      <w:pPr>
        <w:pStyle w:val="Listenabsatz"/>
        <w:numPr>
          <w:ilvl w:val="0"/>
          <w:numId w:val="1"/>
        </w:numPr>
      </w:pPr>
      <w:r>
        <w:t>Action (</w:t>
      </w:r>
      <w:r w:rsidR="000C0613">
        <w:t>Instruction</w:t>
      </w:r>
      <w:r>
        <w:t>)</w:t>
      </w:r>
    </w:p>
    <w:p w:rsidR="000C0613" w:rsidRDefault="000C0613" w:rsidP="000C0613">
      <w:pPr>
        <w:pStyle w:val="Listenabsatz"/>
        <w:numPr>
          <w:ilvl w:val="1"/>
          <w:numId w:val="1"/>
        </w:numPr>
      </w:pPr>
      <w:r>
        <w:t>Using English versions only</w:t>
      </w:r>
      <w:r w:rsidR="00D14BBE">
        <w:t>, referring to the list provided in S-4</w:t>
      </w:r>
    </w:p>
    <w:p w:rsidR="00D14BBE" w:rsidRDefault="00D14BBE" w:rsidP="00D14BBE">
      <w:pPr>
        <w:pStyle w:val="Listenabsatz"/>
        <w:numPr>
          <w:ilvl w:val="0"/>
          <w:numId w:val="1"/>
        </w:numPr>
      </w:pPr>
      <w:r>
        <w:t>Symbol</w:t>
      </w:r>
    </w:p>
    <w:p w:rsidR="00D14BBE" w:rsidRDefault="00D14BBE" w:rsidP="00D14BBE">
      <w:pPr>
        <w:pStyle w:val="Listenabsatz"/>
        <w:numPr>
          <w:ilvl w:val="1"/>
          <w:numId w:val="1"/>
        </w:numPr>
      </w:pPr>
      <w:r>
        <w:t>A model was developed considering the latest MRN developments, noting that this required a long transition time</w:t>
      </w:r>
      <w:r w:rsidR="002A69DC">
        <w:t xml:space="preserve"> and Secretariat involvement</w:t>
      </w:r>
    </w:p>
    <w:p w:rsidR="00D14BBE" w:rsidRDefault="00D14BBE" w:rsidP="00D14BBE">
      <w:pPr>
        <w:pStyle w:val="Listenabsatz"/>
        <w:numPr>
          <w:ilvl w:val="1"/>
          <w:numId w:val="1"/>
        </w:numPr>
      </w:pPr>
      <w:r>
        <w:t xml:space="preserve">As an intermediate solution symbols will be provided in several graphic formats and fonts </w:t>
      </w:r>
    </w:p>
    <w:p w:rsidR="00D14BBE" w:rsidRDefault="00D14BBE" w:rsidP="00D14BBE">
      <w:pPr>
        <w:pStyle w:val="Listenabsatz"/>
        <w:numPr>
          <w:ilvl w:val="1"/>
          <w:numId w:val="1"/>
        </w:numPr>
      </w:pPr>
      <w:r>
        <w:t xml:space="preserve">Symbol labels are not part of the symbol </w:t>
      </w:r>
      <w:r w:rsidR="002A69DC">
        <w:t xml:space="preserve">itself </w:t>
      </w:r>
      <w:r>
        <w:t>and will be provided in a separate tag</w:t>
      </w:r>
    </w:p>
    <w:p w:rsidR="00D14BBE" w:rsidRDefault="002A69DC" w:rsidP="002A69DC">
      <w:pPr>
        <w:pStyle w:val="Listenabsatz"/>
        <w:numPr>
          <w:ilvl w:val="0"/>
          <w:numId w:val="1"/>
        </w:numPr>
      </w:pPr>
      <w:r>
        <w:t xml:space="preserve">Correction instruction </w:t>
      </w:r>
    </w:p>
    <w:p w:rsidR="004B6943" w:rsidRDefault="004B6943" w:rsidP="00D14BBE">
      <w:pPr>
        <w:pStyle w:val="Listenabsatz"/>
        <w:numPr>
          <w:ilvl w:val="1"/>
          <w:numId w:val="1"/>
        </w:numPr>
      </w:pPr>
      <w:r>
        <w:t>Free text describing what to do</w:t>
      </w:r>
    </w:p>
    <w:p w:rsidR="004B6943" w:rsidRDefault="004B6943" w:rsidP="004B6943">
      <w:pPr>
        <w:pStyle w:val="Listenabsatz"/>
        <w:numPr>
          <w:ilvl w:val="0"/>
          <w:numId w:val="1"/>
        </w:numPr>
      </w:pPr>
      <w:r>
        <w:t>Composition of correction instruction</w:t>
      </w:r>
    </w:p>
    <w:p w:rsidR="00D14BBE" w:rsidRDefault="004B6943" w:rsidP="004B6943">
      <w:pPr>
        <w:pStyle w:val="Listenabsatz"/>
        <w:numPr>
          <w:ilvl w:val="1"/>
          <w:numId w:val="1"/>
        </w:numPr>
      </w:pPr>
      <w:r>
        <w:t>Depends on the topic either one or two combinations of Symbol/Symbol text/ Correction instruction are allowed</w:t>
      </w:r>
    </w:p>
    <w:p w:rsidR="00D87B05" w:rsidRDefault="00D87B05" w:rsidP="004B6943">
      <w:pPr>
        <w:pStyle w:val="Listenabsatz"/>
        <w:numPr>
          <w:ilvl w:val="1"/>
          <w:numId w:val="1"/>
        </w:numPr>
      </w:pPr>
      <w:r>
        <w:t>Addition of a complex attribute pointing to an external file at the end of the composition (resource, type of file)</w:t>
      </w:r>
    </w:p>
    <w:p w:rsidR="002A69DC" w:rsidRDefault="002A69DC" w:rsidP="002A69DC"/>
    <w:p w:rsidR="002A69DC" w:rsidRDefault="002A69DC" w:rsidP="002A69DC"/>
    <w:p w:rsidR="002A69DC" w:rsidRPr="00307420" w:rsidRDefault="00307420" w:rsidP="002A69DC">
      <w:pPr>
        <w:rPr>
          <w:rFonts w:ascii="Arial" w:hAnsi="Arial" w:cs="Arial"/>
          <w:b/>
          <w:bCs/>
          <w:color w:val="000000"/>
          <w:sz w:val="26"/>
          <w:szCs w:val="26"/>
        </w:rPr>
      </w:pPr>
      <w:r w:rsidRPr="00307420">
        <w:rPr>
          <w:rFonts w:ascii="Arial" w:hAnsi="Arial" w:cs="Arial"/>
          <w:b/>
          <w:bCs/>
          <w:color w:val="000000"/>
          <w:sz w:val="26"/>
          <w:szCs w:val="26"/>
        </w:rPr>
        <w:t>6. Development and Review of UML</w:t>
      </w:r>
    </w:p>
    <w:p w:rsidR="00307420" w:rsidRDefault="00307420" w:rsidP="002A69DC"/>
    <w:p w:rsidR="002A69DC" w:rsidRDefault="00307420" w:rsidP="002A69DC">
      <w:r>
        <w:t xml:space="preserve">The UML, see Annex C, was improved reflecting the discussion.  The current version is being considered as the starting point for the testing phase. Minor improvements will be made after the meeting. </w:t>
      </w:r>
    </w:p>
    <w:p w:rsidR="00307420" w:rsidRDefault="00307420" w:rsidP="002A69DC"/>
    <w:p w:rsidR="00307420" w:rsidRPr="00307420" w:rsidRDefault="00307420" w:rsidP="002A69DC">
      <w:pPr>
        <w:rPr>
          <w:rFonts w:ascii="Arial" w:hAnsi="Arial" w:cs="Arial"/>
          <w:b/>
          <w:bCs/>
          <w:color w:val="000000"/>
          <w:sz w:val="26"/>
          <w:szCs w:val="26"/>
        </w:rPr>
      </w:pPr>
      <w:r w:rsidRPr="00307420">
        <w:rPr>
          <w:rFonts w:ascii="Arial" w:hAnsi="Arial" w:cs="Arial"/>
          <w:b/>
          <w:bCs/>
          <w:color w:val="000000"/>
          <w:sz w:val="26"/>
          <w:szCs w:val="26"/>
        </w:rPr>
        <w:t>7. Development of XSD file and XML</w:t>
      </w:r>
    </w:p>
    <w:p w:rsidR="00307420" w:rsidRDefault="00307420" w:rsidP="002A69DC"/>
    <w:p w:rsidR="002A69DC" w:rsidRDefault="00307420" w:rsidP="002A69DC">
      <w:r>
        <w:t xml:space="preserve">The files will be generated </w:t>
      </w:r>
      <w:r w:rsidR="00165188">
        <w:t>after the meeting.</w:t>
      </w:r>
    </w:p>
    <w:p w:rsidR="00307420" w:rsidRDefault="00307420" w:rsidP="002A69DC"/>
    <w:p w:rsidR="00307420" w:rsidRDefault="00307420" w:rsidP="002A69DC"/>
    <w:p w:rsidR="00307420" w:rsidRPr="00165188" w:rsidRDefault="00307420" w:rsidP="002A69DC">
      <w:pPr>
        <w:rPr>
          <w:rFonts w:ascii="Arial" w:hAnsi="Arial" w:cs="Arial"/>
          <w:b/>
          <w:bCs/>
          <w:color w:val="000000"/>
          <w:sz w:val="26"/>
          <w:szCs w:val="26"/>
        </w:rPr>
      </w:pPr>
      <w:r w:rsidRPr="00165188">
        <w:rPr>
          <w:rFonts w:ascii="Arial" w:hAnsi="Arial" w:cs="Arial"/>
          <w:b/>
          <w:bCs/>
          <w:color w:val="000000"/>
          <w:sz w:val="26"/>
          <w:szCs w:val="26"/>
        </w:rPr>
        <w:t>8. Actions to be taken:</w:t>
      </w:r>
    </w:p>
    <w:p w:rsidR="00307420" w:rsidRDefault="00307420" w:rsidP="002A69DC"/>
    <w:p w:rsidR="00BD2842" w:rsidRDefault="00BD2842" w:rsidP="002A69DC">
      <w:r>
        <w:t>See Annex A.</w:t>
      </w:r>
    </w:p>
    <w:p w:rsidR="007635D3" w:rsidRDefault="007635D3" w:rsidP="002A69DC"/>
    <w:p w:rsidR="007635D3" w:rsidRDefault="007635D3" w:rsidP="002A69DC"/>
    <w:p w:rsidR="002A69DC" w:rsidRDefault="002A69DC" w:rsidP="002A69DC"/>
    <w:p w:rsidR="002A69DC" w:rsidRDefault="002A69DC" w:rsidP="002A69DC"/>
    <w:p w:rsidR="006F3F56" w:rsidRDefault="006F3F56" w:rsidP="002A69DC"/>
    <w:p w:rsidR="006F3F56" w:rsidRDefault="006F3F56" w:rsidP="002A69DC"/>
    <w:p w:rsidR="00C467E2" w:rsidRDefault="00C467E2">
      <w:r>
        <w:br w:type="page"/>
      </w:r>
    </w:p>
    <w:p w:rsidR="006F3F56" w:rsidRPr="006F7BAA" w:rsidRDefault="006F7BAA">
      <w:pPr>
        <w:rPr>
          <w:b/>
        </w:rPr>
      </w:pPr>
      <w:r w:rsidRPr="006F7BAA">
        <w:rPr>
          <w:b/>
        </w:rPr>
        <w:lastRenderedPageBreak/>
        <w:t>Annex A: List of Actions:</w:t>
      </w:r>
    </w:p>
    <w:p w:rsidR="00BD2842" w:rsidRDefault="00BD2842" w:rsidP="00BD2842">
      <w:r>
        <w:t>All</w:t>
      </w:r>
    </w:p>
    <w:p w:rsidR="00BD2842" w:rsidRDefault="00BD2842" w:rsidP="00BD2842">
      <w:r>
        <w:t>Check the completeness of the various enumeration values (31 October 2018)</w:t>
      </w:r>
    </w:p>
    <w:p w:rsidR="00BD2842" w:rsidRDefault="00BD2842" w:rsidP="00BD2842"/>
    <w:p w:rsidR="00BD2842" w:rsidRDefault="00BD2842" w:rsidP="00BD2842"/>
    <w:p w:rsidR="00BD2842" w:rsidRDefault="00BD2842" w:rsidP="00BD2842">
      <w:r>
        <w:t>Germany</w:t>
      </w:r>
    </w:p>
    <w:p w:rsidR="00BD2842" w:rsidRDefault="00BD2842" w:rsidP="00BD2842">
      <w:r>
        <w:t>A simplified DCEG will be developed which describes only UML components in details which are not bijective. (31 December 2018)</w:t>
      </w:r>
    </w:p>
    <w:p w:rsidR="00BD2842" w:rsidRDefault="00BD2842" w:rsidP="00BD2842"/>
    <w:p w:rsidR="00BD2842" w:rsidRDefault="00BD2842" w:rsidP="00BD2842"/>
    <w:p w:rsidR="00BD2842" w:rsidRDefault="00BD2842" w:rsidP="00BD2842">
      <w:r>
        <w:t>Jens</w:t>
      </w:r>
    </w:p>
    <w:p w:rsidR="00BD2842" w:rsidRDefault="00BD2842" w:rsidP="00BD2842">
      <w:r>
        <w:t>Finding a common repository and exchange mechanism for XML based corrections which should be hosted by the Secretariat. Each HO can deliver and receive the XML automatically</w:t>
      </w:r>
    </w:p>
    <w:p w:rsidR="00BD2842" w:rsidRDefault="00BD2842" w:rsidP="00BD2842">
      <w:r>
        <w:t xml:space="preserve">(31 December 2018) </w:t>
      </w:r>
    </w:p>
    <w:p w:rsidR="00BD2842" w:rsidRDefault="00BD2842" w:rsidP="00BD2842"/>
    <w:p w:rsidR="00BD2842" w:rsidRDefault="00BD2842" w:rsidP="00BD2842">
      <w:r>
        <w:t>Draft a response paper to WWNWS-CG, distribute between participants for comments before submission (15 November 2018)</w:t>
      </w:r>
    </w:p>
    <w:p w:rsidR="00BD2842" w:rsidRDefault="00BD2842" w:rsidP="00BD2842"/>
    <w:p w:rsidR="00BD2842" w:rsidRDefault="00BD2842" w:rsidP="00BD2842"/>
    <w:p w:rsidR="00BD2842" w:rsidRDefault="00BD2842" w:rsidP="00BD2842">
      <w:r>
        <w:t>Stefan</w:t>
      </w:r>
    </w:p>
    <w:p w:rsidR="00BD2842" w:rsidRDefault="00BD2842" w:rsidP="00BD2842">
      <w:r>
        <w:t>Preparing an input paper for NIPWG6 (January 2019)</w:t>
      </w:r>
    </w:p>
    <w:p w:rsidR="00BD2842" w:rsidRDefault="00BD2842" w:rsidP="00BD2842"/>
    <w:p w:rsidR="00BD2842" w:rsidRDefault="00BD2842" w:rsidP="00BD2842"/>
    <w:p w:rsidR="00BD2842" w:rsidRDefault="00BD2842" w:rsidP="00BD2842">
      <w:r>
        <w:t>Testing phase</w:t>
      </w:r>
    </w:p>
    <w:p w:rsidR="00BD2842" w:rsidRDefault="00BD2842" w:rsidP="00BD2842">
      <w:r>
        <w:t xml:space="preserve">All </w:t>
      </w:r>
    </w:p>
    <w:p w:rsidR="00BD2842" w:rsidRDefault="00BD2842" w:rsidP="00BD2842">
      <w:r>
        <w:t xml:space="preserve">Each participating HO produces 10 different examples of </w:t>
      </w:r>
      <w:proofErr w:type="spellStart"/>
      <w:r>
        <w:t>NtM</w:t>
      </w:r>
      <w:proofErr w:type="spellEnd"/>
      <w:r>
        <w:t xml:space="preserve"> chart corrections which should be converted from their own XML to the common </w:t>
      </w:r>
      <w:proofErr w:type="gramStart"/>
      <w:r>
        <w:t>XML  (</w:t>
      </w:r>
      <w:proofErr w:type="gramEnd"/>
      <w:r>
        <w:t>31 January 2019)</w:t>
      </w:r>
    </w:p>
    <w:p w:rsidR="00BD2842" w:rsidRDefault="00BD2842" w:rsidP="00BD2842"/>
    <w:p w:rsidR="00BD2842" w:rsidRDefault="00BD2842" w:rsidP="00BD2842">
      <w:r>
        <w:t>Ludovico</w:t>
      </w:r>
    </w:p>
    <w:p w:rsidR="00BD2842" w:rsidRDefault="00BD2842" w:rsidP="00BD2842">
      <w:r>
        <w:t xml:space="preserve">Test to put the common XML information into CARIS publication module using Italian </w:t>
      </w:r>
      <w:proofErr w:type="spellStart"/>
      <w:r>
        <w:t>NtM</w:t>
      </w:r>
      <w:proofErr w:type="spellEnd"/>
      <w:r>
        <w:t xml:space="preserve"> structure as an output. (28 February2019)</w:t>
      </w:r>
    </w:p>
    <w:p w:rsidR="00BD2842" w:rsidRDefault="00BD2842" w:rsidP="00BD2842">
      <w:r>
        <w:t>Daniel</w:t>
      </w:r>
    </w:p>
    <w:p w:rsidR="00BD2842" w:rsidRDefault="00BD2842" w:rsidP="00BD2842">
      <w:r>
        <w:t xml:space="preserve">Test to put the common XML information into CARIS publication module using German </w:t>
      </w:r>
      <w:proofErr w:type="spellStart"/>
      <w:r>
        <w:t>NtM</w:t>
      </w:r>
      <w:proofErr w:type="spellEnd"/>
      <w:r>
        <w:t xml:space="preserve"> structure as an output. (28 February 2019)</w:t>
      </w:r>
    </w:p>
    <w:p w:rsidR="00BD2842" w:rsidRDefault="00BD2842" w:rsidP="00BD2842">
      <w:r>
        <w:t xml:space="preserve">Daniel </w:t>
      </w:r>
    </w:p>
    <w:p w:rsidR="00BD2842" w:rsidRDefault="00BD2842" w:rsidP="00BD2842">
      <w:r>
        <w:t>Develop an XSLT to provide an HTML output of the examples. (28 February</w:t>
      </w:r>
    </w:p>
    <w:p w:rsidR="00BD2842" w:rsidRDefault="00BD2842" w:rsidP="00BD2842">
      <w:r>
        <w:t>Stefan</w:t>
      </w:r>
    </w:p>
    <w:p w:rsidR="00BD2842" w:rsidRDefault="00BD2842" w:rsidP="00BD2842">
      <w:r>
        <w:t xml:space="preserve">Develop a translation from the common XML format to RSS (tentatively, if time allows, potentially by 31 March 2019) </w:t>
      </w:r>
    </w:p>
    <w:p w:rsidR="00BD2842" w:rsidRDefault="00BD2842" w:rsidP="00BD2842">
      <w:proofErr w:type="spellStart"/>
      <w:r>
        <w:t>Rade</w:t>
      </w:r>
      <w:proofErr w:type="spellEnd"/>
    </w:p>
    <w:p w:rsidR="00BD2842" w:rsidRDefault="00BD2842" w:rsidP="00BD2842">
      <w:r>
        <w:t xml:space="preserve">Test to put the common XML information into the Norwegian system and produce an output according the No </w:t>
      </w:r>
      <w:proofErr w:type="spellStart"/>
      <w:r>
        <w:t>NtM</w:t>
      </w:r>
      <w:proofErr w:type="spellEnd"/>
      <w:r>
        <w:t xml:space="preserve"> (31 March 2019)</w:t>
      </w:r>
    </w:p>
    <w:p w:rsidR="00BD2842" w:rsidRDefault="00BD2842" w:rsidP="00BD2842">
      <w:r>
        <w:t>Yong (on behalf of KHOA)</w:t>
      </w:r>
    </w:p>
    <w:p w:rsidR="00BD2842" w:rsidRDefault="00BD2842" w:rsidP="00BD2842">
      <w:r>
        <w:t xml:space="preserve">Test the common XML to generate an output in Korean/English language according to the Korean </w:t>
      </w:r>
      <w:proofErr w:type="spellStart"/>
      <w:r>
        <w:t>NtM</w:t>
      </w:r>
      <w:proofErr w:type="spellEnd"/>
      <w:r>
        <w:t xml:space="preserve"> style (31 March 2019)</w:t>
      </w:r>
    </w:p>
    <w:p w:rsidR="00BD2842" w:rsidRDefault="00BD2842" w:rsidP="00BD2842"/>
    <w:p w:rsidR="00BD2842" w:rsidRDefault="00BD2842" w:rsidP="00BD2842"/>
    <w:p w:rsidR="00BD2842" w:rsidRDefault="00BD2842" w:rsidP="00BD2842">
      <w:r>
        <w:t>All examples will be placed on the NIPWG wiki site.</w:t>
      </w:r>
    </w:p>
    <w:p w:rsidR="00BD2842" w:rsidRDefault="00BD2842" w:rsidP="00BD2842"/>
    <w:p w:rsidR="00BD2842" w:rsidRDefault="00BD2842" w:rsidP="00BD2842"/>
    <w:p w:rsidR="00BD2842" w:rsidRDefault="00BD2842" w:rsidP="00BD2842"/>
    <w:p w:rsidR="00BD2842" w:rsidRDefault="00BD2842">
      <w:r>
        <w:br w:type="page"/>
      </w:r>
    </w:p>
    <w:p w:rsidR="00BD2842" w:rsidRDefault="00BD2842" w:rsidP="00BD2842">
      <w:r>
        <w:lastRenderedPageBreak/>
        <w:t>Jens</w:t>
      </w:r>
    </w:p>
    <w:p w:rsidR="00BD2842" w:rsidRDefault="00BD2842" w:rsidP="00BD2842">
      <w:r>
        <w:t xml:space="preserve">Contact IHO Sec to find an appropriate place for providing the workshop output. That includes “best practice” XML for exchanging HO </w:t>
      </w:r>
      <w:proofErr w:type="spellStart"/>
      <w:r>
        <w:t>NtM</w:t>
      </w:r>
      <w:proofErr w:type="spellEnd"/>
      <w:r>
        <w:t xml:space="preserve"> data. (31 December 2018) </w:t>
      </w:r>
    </w:p>
    <w:p w:rsidR="00BD2842" w:rsidRDefault="00BD2842" w:rsidP="00BD2842"/>
    <w:p w:rsidR="00BD2842" w:rsidRDefault="00BD2842" w:rsidP="00BD2842">
      <w:r>
        <w:t xml:space="preserve">Initiate a follow-up workshop in September 2019 (exchange of experience, improve data model, consider additional requests) </w:t>
      </w:r>
    </w:p>
    <w:p w:rsidR="00BD2842" w:rsidRDefault="00BD2842" w:rsidP="00BD2842">
      <w:pPr>
        <w:ind w:left="708"/>
      </w:pPr>
      <w:r>
        <w:t>Contact NIPWG6</w:t>
      </w:r>
    </w:p>
    <w:p w:rsidR="00BD2842" w:rsidRDefault="00BD2842" w:rsidP="00BD2842">
      <w:pPr>
        <w:ind w:left="708"/>
      </w:pPr>
      <w:r>
        <w:t>Apply HSSC endorsement (noting that we reflect the outcome of the testing base)</w:t>
      </w:r>
    </w:p>
    <w:p w:rsidR="006F3F56" w:rsidRDefault="006F3F56"/>
    <w:p w:rsidR="006F3F56" w:rsidRDefault="006F3F56"/>
    <w:p w:rsidR="006F3F56" w:rsidRDefault="006F3F56"/>
    <w:p w:rsidR="006F7BAA" w:rsidRDefault="006F7BAA">
      <w:pPr>
        <w:rPr>
          <w:b/>
        </w:rPr>
      </w:pPr>
      <w:r>
        <w:rPr>
          <w:b/>
        </w:rPr>
        <w:br w:type="page"/>
      </w:r>
    </w:p>
    <w:p w:rsidR="00C467E2" w:rsidRPr="00614132" w:rsidRDefault="00C467E2" w:rsidP="002A69DC">
      <w:pPr>
        <w:rPr>
          <w:b/>
        </w:rPr>
      </w:pPr>
      <w:r w:rsidRPr="00614132">
        <w:rPr>
          <w:b/>
        </w:rPr>
        <w:lastRenderedPageBreak/>
        <w:t>Anne</w:t>
      </w:r>
      <w:r w:rsidR="00AE3FFF" w:rsidRPr="00614132">
        <w:rPr>
          <w:b/>
        </w:rPr>
        <w:t>x</w:t>
      </w:r>
      <w:r w:rsidRPr="00614132">
        <w:rPr>
          <w:b/>
        </w:rPr>
        <w:t xml:space="preserve"> </w:t>
      </w:r>
      <w:r w:rsidR="006F7BAA">
        <w:rPr>
          <w:b/>
        </w:rPr>
        <w:t>B</w:t>
      </w:r>
      <w:r w:rsidRPr="00614132">
        <w:rPr>
          <w:b/>
        </w:rPr>
        <w:t xml:space="preserve">: List of Attendees </w:t>
      </w:r>
    </w:p>
    <w:p w:rsidR="00AE3FFF" w:rsidRDefault="00AE3FFF" w:rsidP="002A69DC"/>
    <w:tbl>
      <w:tblPr>
        <w:tblW w:w="0" w:type="auto"/>
        <w:tblCellSpacing w:w="0" w:type="dxa"/>
        <w:tblLayout w:type="fixed"/>
        <w:tblCellMar>
          <w:left w:w="0" w:type="dxa"/>
          <w:right w:w="0" w:type="dxa"/>
        </w:tblCellMar>
        <w:tblLook w:val="04A0" w:firstRow="1" w:lastRow="0" w:firstColumn="1" w:lastColumn="0" w:noHBand="0" w:noVBand="1"/>
      </w:tblPr>
      <w:tblGrid>
        <w:gridCol w:w="898"/>
        <w:gridCol w:w="95"/>
        <w:gridCol w:w="2269"/>
        <w:gridCol w:w="2634"/>
        <w:gridCol w:w="3176"/>
      </w:tblGrid>
      <w:tr w:rsidR="00BC7888" w:rsidRPr="00BC7888" w:rsidTr="00BC7888">
        <w:trPr>
          <w:tblCellSpacing w:w="0" w:type="dxa"/>
        </w:trPr>
        <w:tc>
          <w:tcPr>
            <w:tcW w:w="9072" w:type="dxa"/>
            <w:gridSpan w:val="5"/>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IHO Member State</w:t>
            </w:r>
          </w:p>
        </w:tc>
      </w:tr>
      <w:tr w:rsidR="00BC7888" w:rsidRPr="00BC7888"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b/>
                <w:bCs/>
                <w:sz w:val="24"/>
                <w:szCs w:val="24"/>
                <w:lang w:val="de-DE"/>
              </w:rPr>
            </w:pPr>
            <w:r w:rsidRPr="00BC7888">
              <w:rPr>
                <w:rFonts w:ascii="Times New Roman" w:hAnsi="Times New Roman"/>
                <w:b/>
                <w:bCs/>
                <w:sz w:val="24"/>
                <w:szCs w:val="24"/>
                <w:lang w:val="de-DE"/>
              </w:rPr>
              <w:t>Country</w:t>
            </w:r>
          </w:p>
        </w:tc>
        <w:tc>
          <w:tcPr>
            <w:tcW w:w="2269" w:type="dxa"/>
            <w:vAlign w:val="center"/>
            <w:hideMark/>
          </w:tcPr>
          <w:p w:rsidR="00BC7888" w:rsidRPr="00BC7888" w:rsidRDefault="00BC7888" w:rsidP="00BC7888">
            <w:pPr>
              <w:jc w:val="center"/>
              <w:rPr>
                <w:rFonts w:ascii="Times New Roman" w:hAnsi="Times New Roman"/>
                <w:b/>
                <w:bCs/>
                <w:sz w:val="24"/>
                <w:szCs w:val="24"/>
                <w:lang w:val="de-DE"/>
              </w:rPr>
            </w:pPr>
            <w:proofErr w:type="spellStart"/>
            <w:r w:rsidRPr="00BC7888">
              <w:rPr>
                <w:rFonts w:ascii="Times New Roman" w:hAnsi="Times New Roman"/>
                <w:b/>
                <w:bCs/>
                <w:sz w:val="24"/>
                <w:szCs w:val="24"/>
                <w:lang w:val="de-DE"/>
              </w:rPr>
              <w:t>Organization</w:t>
            </w:r>
            <w:proofErr w:type="spellEnd"/>
          </w:p>
        </w:tc>
        <w:tc>
          <w:tcPr>
            <w:tcW w:w="2634" w:type="dxa"/>
            <w:vAlign w:val="center"/>
            <w:hideMark/>
          </w:tcPr>
          <w:p w:rsidR="00BC7888" w:rsidRPr="00BC7888" w:rsidRDefault="00BC7888" w:rsidP="00BC7888">
            <w:pPr>
              <w:jc w:val="center"/>
              <w:rPr>
                <w:rFonts w:ascii="Times New Roman" w:hAnsi="Times New Roman"/>
                <w:b/>
                <w:bCs/>
                <w:sz w:val="24"/>
                <w:szCs w:val="24"/>
                <w:lang w:val="de-DE"/>
              </w:rPr>
            </w:pPr>
            <w:proofErr w:type="spellStart"/>
            <w:r w:rsidRPr="00BC7888">
              <w:rPr>
                <w:rFonts w:ascii="Times New Roman" w:hAnsi="Times New Roman"/>
                <w:b/>
                <w:bCs/>
                <w:sz w:val="24"/>
                <w:szCs w:val="24"/>
                <w:lang w:val="de-DE"/>
              </w:rPr>
              <w:t>Participant</w:t>
            </w:r>
            <w:proofErr w:type="spellEnd"/>
          </w:p>
        </w:tc>
        <w:tc>
          <w:tcPr>
            <w:tcW w:w="3176" w:type="dxa"/>
            <w:vAlign w:val="center"/>
            <w:hideMark/>
          </w:tcPr>
          <w:p w:rsidR="00BC7888" w:rsidRPr="00BC7888" w:rsidRDefault="00BC7888" w:rsidP="00BC7888">
            <w:pPr>
              <w:jc w:val="center"/>
              <w:rPr>
                <w:rFonts w:ascii="Times New Roman" w:hAnsi="Times New Roman"/>
                <w:b/>
                <w:bCs/>
                <w:sz w:val="24"/>
                <w:szCs w:val="24"/>
                <w:lang w:val="de-DE"/>
              </w:rPr>
            </w:pPr>
            <w:proofErr w:type="spellStart"/>
            <w:r w:rsidRPr="00BC7888">
              <w:rPr>
                <w:rFonts w:ascii="Times New Roman" w:hAnsi="Times New Roman"/>
                <w:b/>
                <w:bCs/>
                <w:sz w:val="24"/>
                <w:szCs w:val="24"/>
                <w:lang w:val="de-DE"/>
              </w:rPr>
              <w:t>E-mail</w:t>
            </w:r>
            <w:proofErr w:type="spellEnd"/>
          </w:p>
        </w:tc>
      </w:tr>
      <w:tr w:rsidR="00BC7888" w:rsidRPr="00BC7888"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lang w:val="de-DE"/>
              </w:rPr>
            </w:pPr>
            <w:proofErr w:type="spellStart"/>
            <w:r w:rsidRPr="00BC7888">
              <w:rPr>
                <w:rFonts w:ascii="Times New Roman" w:hAnsi="Times New Roman"/>
                <w:sz w:val="24"/>
                <w:szCs w:val="24"/>
                <w:lang w:val="de-DE"/>
              </w:rPr>
              <w:t>Finland</w:t>
            </w:r>
            <w:proofErr w:type="spellEnd"/>
          </w:p>
        </w:tc>
        <w:tc>
          <w:tcPr>
            <w:tcW w:w="2269" w:type="dxa"/>
            <w:vAlign w:val="center"/>
            <w:hideMark/>
          </w:tcPr>
          <w:p w:rsidR="00BC7888" w:rsidRPr="00BC7888" w:rsidRDefault="00BC7888" w:rsidP="00BC7888">
            <w:pPr>
              <w:rPr>
                <w:rFonts w:ascii="Times New Roman" w:hAnsi="Times New Roman"/>
                <w:sz w:val="24"/>
                <w:szCs w:val="24"/>
              </w:rPr>
            </w:pPr>
            <w:r>
              <w:rPr>
                <w:rFonts w:ascii="Times New Roman" w:hAnsi="Times New Roman"/>
                <w:sz w:val="24"/>
                <w:szCs w:val="24"/>
              </w:rPr>
              <w:t>FTA</w:t>
            </w:r>
          </w:p>
        </w:tc>
        <w:tc>
          <w:tcPr>
            <w:tcW w:w="2634"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Stefan ENGSTRÖM</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 xml:space="preserve">stefan.engstrom@fta.fi </w:t>
            </w:r>
          </w:p>
        </w:tc>
      </w:tr>
      <w:tr w:rsidR="00BC7888" w:rsidRPr="00BC7888"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lang w:val="de-DE"/>
              </w:rPr>
            </w:pPr>
            <w:r w:rsidRPr="00BC7888">
              <w:rPr>
                <w:rFonts w:ascii="Times New Roman" w:hAnsi="Times New Roman"/>
                <w:sz w:val="24"/>
                <w:szCs w:val="24"/>
                <w:lang w:val="de-DE"/>
              </w:rPr>
              <w:t>France</w:t>
            </w:r>
          </w:p>
        </w:tc>
        <w:tc>
          <w:tcPr>
            <w:tcW w:w="2269" w:type="dxa"/>
            <w:vAlign w:val="center"/>
            <w:hideMark/>
          </w:tcPr>
          <w:p w:rsidR="00BC7888" w:rsidRPr="00BC7888" w:rsidRDefault="00BC7888" w:rsidP="00BC7888">
            <w:pPr>
              <w:rPr>
                <w:rFonts w:ascii="Times New Roman" w:hAnsi="Times New Roman"/>
                <w:sz w:val="24"/>
                <w:szCs w:val="24"/>
              </w:rPr>
            </w:pPr>
            <w:r>
              <w:rPr>
                <w:rFonts w:ascii="Times New Roman" w:hAnsi="Times New Roman"/>
                <w:sz w:val="24"/>
                <w:szCs w:val="24"/>
              </w:rPr>
              <w:t>SHOM</w:t>
            </w:r>
          </w:p>
        </w:tc>
        <w:tc>
          <w:tcPr>
            <w:tcW w:w="2634"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Pierre-Yves LE MOIGNE</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pylemoig@shom.fr</w:t>
            </w:r>
          </w:p>
        </w:tc>
      </w:tr>
      <w:tr w:rsidR="00BC7888" w:rsidRPr="00B05B19"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lang w:val="de-DE"/>
              </w:rPr>
            </w:pPr>
            <w:r w:rsidRPr="00BC7888">
              <w:rPr>
                <w:rFonts w:ascii="Times New Roman" w:hAnsi="Times New Roman"/>
                <w:sz w:val="24"/>
                <w:szCs w:val="24"/>
                <w:lang w:val="de-DE"/>
              </w:rPr>
              <w:t>Germany</w:t>
            </w:r>
          </w:p>
        </w:tc>
        <w:tc>
          <w:tcPr>
            <w:tcW w:w="2269" w:type="dxa"/>
            <w:vAlign w:val="center"/>
            <w:hideMark/>
          </w:tcPr>
          <w:p w:rsidR="00BC7888" w:rsidRPr="00BC7888" w:rsidRDefault="00BC7888" w:rsidP="00BC7888">
            <w:pPr>
              <w:rPr>
                <w:rFonts w:ascii="Times New Roman" w:hAnsi="Times New Roman"/>
                <w:sz w:val="24"/>
                <w:szCs w:val="24"/>
                <w:lang w:val="de-DE"/>
              </w:rPr>
            </w:pPr>
            <w:r>
              <w:rPr>
                <w:rFonts w:ascii="Times New Roman" w:hAnsi="Times New Roman"/>
                <w:sz w:val="24"/>
                <w:szCs w:val="24"/>
                <w:lang w:val="de-DE"/>
              </w:rPr>
              <w:t>BSH</w:t>
            </w:r>
          </w:p>
        </w:tc>
        <w:tc>
          <w:tcPr>
            <w:tcW w:w="2634"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Jens SCHRÖDER-FÜRSTENBERG</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jens.schroeder-fuerstenberg@bsh.de</w:t>
            </w:r>
          </w:p>
        </w:tc>
      </w:tr>
      <w:tr w:rsidR="00BC7888" w:rsidRPr="00BC7888"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lang w:val="de-DE"/>
              </w:rPr>
            </w:pPr>
            <w:r w:rsidRPr="00BC7888">
              <w:rPr>
                <w:rFonts w:ascii="Times New Roman" w:hAnsi="Times New Roman"/>
                <w:sz w:val="24"/>
                <w:szCs w:val="24"/>
                <w:lang w:val="de-DE"/>
              </w:rPr>
              <w:t>Germany</w:t>
            </w:r>
          </w:p>
        </w:tc>
        <w:tc>
          <w:tcPr>
            <w:tcW w:w="2269" w:type="dxa"/>
            <w:vAlign w:val="center"/>
            <w:hideMark/>
          </w:tcPr>
          <w:p w:rsidR="00BC7888" w:rsidRPr="00BC7888" w:rsidRDefault="00BC7888" w:rsidP="00BC7888">
            <w:pPr>
              <w:rPr>
                <w:rFonts w:ascii="Times New Roman" w:hAnsi="Times New Roman"/>
                <w:sz w:val="24"/>
                <w:szCs w:val="24"/>
                <w:lang w:val="de-DE"/>
              </w:rPr>
            </w:pPr>
            <w:r>
              <w:rPr>
                <w:rFonts w:ascii="Times New Roman" w:hAnsi="Times New Roman"/>
                <w:sz w:val="24"/>
                <w:szCs w:val="24"/>
                <w:lang w:val="de-DE"/>
              </w:rPr>
              <w:t>BSH</w:t>
            </w:r>
          </w:p>
        </w:tc>
        <w:tc>
          <w:tcPr>
            <w:tcW w:w="2634"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Daniel ZÜHR</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daniel.zuehr@bsh.de</w:t>
            </w:r>
          </w:p>
        </w:tc>
      </w:tr>
      <w:tr w:rsidR="00BC7888" w:rsidRPr="00B05B19"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lang w:val="de-DE"/>
              </w:rPr>
            </w:pPr>
            <w:proofErr w:type="spellStart"/>
            <w:r w:rsidRPr="00BC7888">
              <w:rPr>
                <w:rFonts w:ascii="Times New Roman" w:hAnsi="Times New Roman"/>
                <w:sz w:val="24"/>
                <w:szCs w:val="24"/>
                <w:lang w:val="de-DE"/>
              </w:rPr>
              <w:t>Italy</w:t>
            </w:r>
            <w:proofErr w:type="spellEnd"/>
          </w:p>
        </w:tc>
        <w:tc>
          <w:tcPr>
            <w:tcW w:w="2269" w:type="dxa"/>
            <w:vAlign w:val="center"/>
            <w:hideMark/>
          </w:tcPr>
          <w:p w:rsidR="00BC7888" w:rsidRPr="00BC7888" w:rsidRDefault="00BC7888" w:rsidP="00BC7888">
            <w:pPr>
              <w:rPr>
                <w:rFonts w:ascii="Times New Roman" w:hAnsi="Times New Roman"/>
                <w:sz w:val="24"/>
                <w:szCs w:val="24"/>
                <w:lang w:val="de-DE"/>
              </w:rPr>
            </w:pPr>
            <w:proofErr w:type="spellStart"/>
            <w:r w:rsidRPr="00BC7888">
              <w:rPr>
                <w:rFonts w:ascii="Times New Roman" w:hAnsi="Times New Roman"/>
                <w:sz w:val="24"/>
                <w:szCs w:val="24"/>
                <w:lang w:val="de-DE"/>
              </w:rPr>
              <w:t>I</w:t>
            </w:r>
            <w:r>
              <w:rPr>
                <w:rFonts w:ascii="Times New Roman" w:hAnsi="Times New Roman"/>
                <w:sz w:val="24"/>
                <w:szCs w:val="24"/>
                <w:lang w:val="de-DE"/>
              </w:rPr>
              <w:t>talian</w:t>
            </w:r>
            <w:proofErr w:type="spellEnd"/>
            <w:r>
              <w:rPr>
                <w:rFonts w:ascii="Times New Roman" w:hAnsi="Times New Roman"/>
                <w:sz w:val="24"/>
                <w:szCs w:val="24"/>
                <w:lang w:val="de-DE"/>
              </w:rPr>
              <w:t xml:space="preserve"> HO</w:t>
            </w:r>
          </w:p>
        </w:tc>
        <w:tc>
          <w:tcPr>
            <w:tcW w:w="2634"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Ludovico STURLA</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ludovico_sturla@marina.difesa.it</w:t>
            </w:r>
          </w:p>
        </w:tc>
      </w:tr>
      <w:tr w:rsidR="00BC7888" w:rsidRPr="00BC7888"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lang w:val="de-DE"/>
              </w:rPr>
            </w:pPr>
            <w:proofErr w:type="spellStart"/>
            <w:r w:rsidRPr="00BC7888">
              <w:rPr>
                <w:rFonts w:ascii="Times New Roman" w:hAnsi="Times New Roman"/>
                <w:sz w:val="24"/>
                <w:szCs w:val="24"/>
                <w:lang w:val="de-DE"/>
              </w:rPr>
              <w:t>Norway</w:t>
            </w:r>
            <w:proofErr w:type="spellEnd"/>
          </w:p>
        </w:tc>
        <w:tc>
          <w:tcPr>
            <w:tcW w:w="2269" w:type="dxa"/>
            <w:vAlign w:val="center"/>
            <w:hideMark/>
          </w:tcPr>
          <w:p w:rsidR="00BC7888" w:rsidRPr="00BC7888" w:rsidRDefault="00BC7888" w:rsidP="00BC7888">
            <w:pPr>
              <w:rPr>
                <w:rFonts w:ascii="Times New Roman" w:hAnsi="Times New Roman"/>
                <w:sz w:val="24"/>
                <w:szCs w:val="24"/>
                <w:lang w:val="de-DE"/>
              </w:rPr>
            </w:pPr>
            <w:proofErr w:type="spellStart"/>
            <w:r>
              <w:rPr>
                <w:rFonts w:ascii="Times New Roman" w:hAnsi="Times New Roman"/>
                <w:sz w:val="24"/>
                <w:szCs w:val="24"/>
                <w:lang w:val="de-DE"/>
              </w:rPr>
              <w:t>Kartverket</w:t>
            </w:r>
            <w:proofErr w:type="spellEnd"/>
          </w:p>
        </w:tc>
        <w:tc>
          <w:tcPr>
            <w:tcW w:w="2634" w:type="dxa"/>
            <w:vAlign w:val="center"/>
            <w:hideMark/>
          </w:tcPr>
          <w:p w:rsidR="00BC7888" w:rsidRPr="00BC7888" w:rsidRDefault="00BC7888" w:rsidP="00BC7888">
            <w:pPr>
              <w:rPr>
                <w:rFonts w:ascii="Times New Roman" w:hAnsi="Times New Roman"/>
                <w:sz w:val="24"/>
                <w:szCs w:val="24"/>
                <w:lang w:val="de-DE"/>
              </w:rPr>
            </w:pPr>
            <w:proofErr w:type="spellStart"/>
            <w:r w:rsidRPr="00BC7888">
              <w:rPr>
                <w:rFonts w:ascii="Times New Roman" w:hAnsi="Times New Roman"/>
                <w:sz w:val="24"/>
                <w:szCs w:val="24"/>
                <w:lang w:val="de-DE"/>
              </w:rPr>
              <w:t>Aasmund</w:t>
            </w:r>
            <w:proofErr w:type="spellEnd"/>
            <w:r w:rsidRPr="00BC7888">
              <w:rPr>
                <w:rFonts w:ascii="Times New Roman" w:hAnsi="Times New Roman"/>
                <w:sz w:val="24"/>
                <w:szCs w:val="24"/>
                <w:lang w:val="de-DE"/>
              </w:rPr>
              <w:t> TJORA</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Asmund.Tjora@kartverket.no</w:t>
            </w:r>
          </w:p>
        </w:tc>
      </w:tr>
      <w:tr w:rsidR="00BC7888" w:rsidRPr="00BC7888"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lang w:val="de-DE"/>
              </w:rPr>
            </w:pPr>
            <w:proofErr w:type="spellStart"/>
            <w:r w:rsidRPr="00BC7888">
              <w:rPr>
                <w:rFonts w:ascii="Times New Roman" w:hAnsi="Times New Roman"/>
                <w:sz w:val="24"/>
                <w:szCs w:val="24"/>
                <w:lang w:val="de-DE"/>
              </w:rPr>
              <w:t>Norway</w:t>
            </w:r>
            <w:proofErr w:type="spellEnd"/>
          </w:p>
        </w:tc>
        <w:tc>
          <w:tcPr>
            <w:tcW w:w="2269" w:type="dxa"/>
            <w:vAlign w:val="center"/>
            <w:hideMark/>
          </w:tcPr>
          <w:p w:rsidR="00BC7888" w:rsidRPr="00BC7888" w:rsidRDefault="00BC7888" w:rsidP="00BC7888">
            <w:pPr>
              <w:rPr>
                <w:rFonts w:ascii="Times New Roman" w:hAnsi="Times New Roman"/>
                <w:sz w:val="24"/>
                <w:szCs w:val="24"/>
                <w:lang w:val="de-DE"/>
              </w:rPr>
            </w:pPr>
            <w:proofErr w:type="spellStart"/>
            <w:r>
              <w:rPr>
                <w:rFonts w:ascii="Times New Roman" w:hAnsi="Times New Roman"/>
                <w:sz w:val="24"/>
                <w:szCs w:val="24"/>
                <w:lang w:val="de-DE"/>
              </w:rPr>
              <w:t>Kartverket</w:t>
            </w:r>
            <w:proofErr w:type="spellEnd"/>
          </w:p>
        </w:tc>
        <w:tc>
          <w:tcPr>
            <w:tcW w:w="2634"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Rade STEVIC</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rade.stevic@kartverket.no</w:t>
            </w:r>
          </w:p>
        </w:tc>
      </w:tr>
      <w:tr w:rsidR="00BC7888" w:rsidRPr="00B05B19"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rPr>
            </w:pPr>
            <w:r w:rsidRPr="00BC7888">
              <w:rPr>
                <w:rFonts w:ascii="Times New Roman" w:hAnsi="Times New Roman"/>
                <w:sz w:val="24"/>
                <w:szCs w:val="24"/>
              </w:rPr>
              <w:t>U</w:t>
            </w:r>
            <w:r>
              <w:rPr>
                <w:rFonts w:ascii="Times New Roman" w:hAnsi="Times New Roman"/>
                <w:sz w:val="24"/>
                <w:szCs w:val="24"/>
              </w:rPr>
              <w:t>K</w:t>
            </w:r>
          </w:p>
        </w:tc>
        <w:tc>
          <w:tcPr>
            <w:tcW w:w="2269"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U</w:t>
            </w:r>
            <w:r>
              <w:rPr>
                <w:rFonts w:ascii="Times New Roman" w:hAnsi="Times New Roman"/>
                <w:sz w:val="24"/>
                <w:szCs w:val="24"/>
                <w:lang w:val="de-DE"/>
              </w:rPr>
              <w:t>KHO</w:t>
            </w:r>
          </w:p>
        </w:tc>
        <w:tc>
          <w:tcPr>
            <w:tcW w:w="2634"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Justyna KLIMEK</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marcy.klimek@ukho.gov.uk</w:t>
            </w:r>
          </w:p>
        </w:tc>
      </w:tr>
      <w:tr w:rsidR="00BC7888" w:rsidRPr="00B05B19" w:rsidTr="00BC7888">
        <w:trPr>
          <w:tblCellSpacing w:w="0" w:type="dxa"/>
        </w:trPr>
        <w:tc>
          <w:tcPr>
            <w:tcW w:w="993" w:type="dxa"/>
            <w:gridSpan w:val="2"/>
            <w:vAlign w:val="center"/>
            <w:hideMark/>
          </w:tcPr>
          <w:p w:rsidR="00BC7888" w:rsidRPr="00BC7888" w:rsidRDefault="00BC7888" w:rsidP="00BC7888">
            <w:pPr>
              <w:jc w:val="center"/>
              <w:rPr>
                <w:rFonts w:ascii="Times New Roman" w:hAnsi="Times New Roman"/>
                <w:sz w:val="24"/>
                <w:szCs w:val="24"/>
                <w:lang w:val="de-DE"/>
              </w:rPr>
            </w:pPr>
            <w:r w:rsidRPr="00BC7888">
              <w:rPr>
                <w:rFonts w:ascii="Times New Roman" w:hAnsi="Times New Roman"/>
                <w:sz w:val="24"/>
                <w:szCs w:val="24"/>
                <w:lang w:val="de-DE"/>
              </w:rPr>
              <w:t>U</w:t>
            </w:r>
            <w:r>
              <w:rPr>
                <w:rFonts w:ascii="Times New Roman" w:hAnsi="Times New Roman"/>
                <w:sz w:val="24"/>
                <w:szCs w:val="24"/>
                <w:lang w:val="de-DE"/>
              </w:rPr>
              <w:t>S</w:t>
            </w:r>
          </w:p>
        </w:tc>
        <w:tc>
          <w:tcPr>
            <w:tcW w:w="2269" w:type="dxa"/>
            <w:vAlign w:val="center"/>
            <w:hideMark/>
          </w:tcPr>
          <w:p w:rsidR="00BC7888" w:rsidRPr="00BC7888" w:rsidRDefault="00BC7888" w:rsidP="00BC7888">
            <w:pPr>
              <w:rPr>
                <w:rFonts w:ascii="Times New Roman" w:hAnsi="Times New Roman"/>
                <w:sz w:val="24"/>
                <w:szCs w:val="24"/>
              </w:rPr>
            </w:pPr>
            <w:r w:rsidRPr="00BC7888">
              <w:rPr>
                <w:rFonts w:ascii="Times New Roman" w:hAnsi="Times New Roman"/>
                <w:sz w:val="24"/>
                <w:szCs w:val="24"/>
              </w:rPr>
              <w:t>N</w:t>
            </w:r>
            <w:r>
              <w:rPr>
                <w:rFonts w:ascii="Times New Roman" w:hAnsi="Times New Roman"/>
                <w:sz w:val="24"/>
                <w:szCs w:val="24"/>
              </w:rPr>
              <w:t>GA</w:t>
            </w:r>
          </w:p>
        </w:tc>
        <w:tc>
          <w:tcPr>
            <w:tcW w:w="2634"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 xml:space="preserve">Lee </w:t>
            </w:r>
            <w:proofErr w:type="spellStart"/>
            <w:r w:rsidRPr="00BC7888">
              <w:rPr>
                <w:rFonts w:ascii="Times New Roman" w:hAnsi="Times New Roman"/>
                <w:sz w:val="24"/>
                <w:szCs w:val="24"/>
                <w:lang w:val="de-DE"/>
              </w:rPr>
              <w:t>anne</w:t>
            </w:r>
            <w:proofErr w:type="spellEnd"/>
            <w:r w:rsidRPr="00BC7888">
              <w:rPr>
                <w:rFonts w:ascii="Times New Roman" w:hAnsi="Times New Roman"/>
                <w:sz w:val="24"/>
                <w:szCs w:val="24"/>
                <w:lang w:val="de-DE"/>
              </w:rPr>
              <w:t> GORDON</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LeeAnne.E.Gordon@nga.mil</w:t>
            </w:r>
          </w:p>
        </w:tc>
      </w:tr>
      <w:tr w:rsidR="00BC7888" w:rsidRPr="00BC7888" w:rsidTr="00BC7888">
        <w:trPr>
          <w:tblCellSpacing w:w="0" w:type="dxa"/>
        </w:trPr>
        <w:tc>
          <w:tcPr>
            <w:tcW w:w="9072" w:type="dxa"/>
            <w:gridSpan w:val="5"/>
            <w:vAlign w:val="center"/>
            <w:hideMark/>
          </w:tcPr>
          <w:p w:rsidR="00BC7888" w:rsidRPr="00BC7888" w:rsidRDefault="00BC7888" w:rsidP="00BC7888">
            <w:pPr>
              <w:rPr>
                <w:rFonts w:ascii="Times New Roman" w:hAnsi="Times New Roman"/>
                <w:sz w:val="24"/>
                <w:szCs w:val="24"/>
                <w:lang w:val="de-DE"/>
              </w:rPr>
            </w:pPr>
            <w:proofErr w:type="spellStart"/>
            <w:r w:rsidRPr="00BC7888">
              <w:rPr>
                <w:rFonts w:ascii="Times New Roman" w:hAnsi="Times New Roman"/>
                <w:sz w:val="24"/>
                <w:szCs w:val="24"/>
                <w:lang w:val="de-DE"/>
              </w:rPr>
              <w:t>Others</w:t>
            </w:r>
            <w:proofErr w:type="spellEnd"/>
          </w:p>
        </w:tc>
      </w:tr>
      <w:tr w:rsidR="00BC7888" w:rsidRPr="00BC7888" w:rsidTr="00BC7888">
        <w:trPr>
          <w:tblCellSpacing w:w="0" w:type="dxa"/>
        </w:trPr>
        <w:tc>
          <w:tcPr>
            <w:tcW w:w="898" w:type="dxa"/>
            <w:vAlign w:val="center"/>
            <w:hideMark/>
          </w:tcPr>
          <w:p w:rsidR="00BC7888" w:rsidRPr="00BC7888" w:rsidRDefault="00BC7888" w:rsidP="00BC7888">
            <w:pPr>
              <w:jc w:val="center"/>
              <w:rPr>
                <w:rFonts w:ascii="Times New Roman" w:hAnsi="Times New Roman"/>
                <w:b/>
                <w:bCs/>
                <w:sz w:val="24"/>
                <w:szCs w:val="24"/>
                <w:lang w:val="de-DE"/>
              </w:rPr>
            </w:pPr>
            <w:r w:rsidRPr="00BC7888">
              <w:rPr>
                <w:rFonts w:ascii="Times New Roman" w:hAnsi="Times New Roman"/>
                <w:b/>
                <w:bCs/>
                <w:sz w:val="24"/>
                <w:szCs w:val="24"/>
                <w:lang w:val="de-DE"/>
              </w:rPr>
              <w:t>Country</w:t>
            </w:r>
          </w:p>
        </w:tc>
        <w:tc>
          <w:tcPr>
            <w:tcW w:w="2364" w:type="dxa"/>
            <w:gridSpan w:val="2"/>
            <w:vAlign w:val="center"/>
            <w:hideMark/>
          </w:tcPr>
          <w:p w:rsidR="00BC7888" w:rsidRPr="00BC7888" w:rsidRDefault="00BC7888" w:rsidP="00BC7888">
            <w:pPr>
              <w:jc w:val="center"/>
              <w:rPr>
                <w:rFonts w:ascii="Times New Roman" w:hAnsi="Times New Roman"/>
                <w:b/>
                <w:bCs/>
                <w:sz w:val="24"/>
                <w:szCs w:val="24"/>
                <w:lang w:val="de-DE"/>
              </w:rPr>
            </w:pPr>
            <w:proofErr w:type="spellStart"/>
            <w:r w:rsidRPr="00BC7888">
              <w:rPr>
                <w:rFonts w:ascii="Times New Roman" w:hAnsi="Times New Roman"/>
                <w:b/>
                <w:bCs/>
                <w:sz w:val="24"/>
                <w:szCs w:val="24"/>
                <w:lang w:val="de-DE"/>
              </w:rPr>
              <w:t>Organization</w:t>
            </w:r>
            <w:proofErr w:type="spellEnd"/>
          </w:p>
        </w:tc>
        <w:tc>
          <w:tcPr>
            <w:tcW w:w="2634" w:type="dxa"/>
            <w:vAlign w:val="center"/>
            <w:hideMark/>
          </w:tcPr>
          <w:p w:rsidR="00BC7888" w:rsidRPr="00BC7888" w:rsidRDefault="00BC7888" w:rsidP="00BC7888">
            <w:pPr>
              <w:jc w:val="center"/>
              <w:rPr>
                <w:rFonts w:ascii="Times New Roman" w:hAnsi="Times New Roman"/>
                <w:b/>
                <w:bCs/>
                <w:sz w:val="24"/>
                <w:szCs w:val="24"/>
                <w:lang w:val="de-DE"/>
              </w:rPr>
            </w:pPr>
            <w:proofErr w:type="spellStart"/>
            <w:r w:rsidRPr="00BC7888">
              <w:rPr>
                <w:rFonts w:ascii="Times New Roman" w:hAnsi="Times New Roman"/>
                <w:b/>
                <w:bCs/>
                <w:sz w:val="24"/>
                <w:szCs w:val="24"/>
                <w:lang w:val="de-DE"/>
              </w:rPr>
              <w:t>Participant</w:t>
            </w:r>
            <w:proofErr w:type="spellEnd"/>
          </w:p>
        </w:tc>
        <w:tc>
          <w:tcPr>
            <w:tcW w:w="3176" w:type="dxa"/>
            <w:vAlign w:val="center"/>
            <w:hideMark/>
          </w:tcPr>
          <w:p w:rsidR="00BC7888" w:rsidRPr="00BC7888" w:rsidRDefault="00BC7888" w:rsidP="00BC7888">
            <w:pPr>
              <w:jc w:val="center"/>
              <w:rPr>
                <w:rFonts w:ascii="Times New Roman" w:hAnsi="Times New Roman"/>
                <w:b/>
                <w:bCs/>
                <w:sz w:val="24"/>
                <w:szCs w:val="24"/>
                <w:lang w:val="de-DE"/>
              </w:rPr>
            </w:pPr>
            <w:proofErr w:type="spellStart"/>
            <w:r w:rsidRPr="00BC7888">
              <w:rPr>
                <w:rFonts w:ascii="Times New Roman" w:hAnsi="Times New Roman"/>
                <w:b/>
                <w:bCs/>
                <w:sz w:val="24"/>
                <w:szCs w:val="24"/>
                <w:lang w:val="de-DE"/>
              </w:rPr>
              <w:t>E-mail</w:t>
            </w:r>
            <w:proofErr w:type="spellEnd"/>
          </w:p>
        </w:tc>
      </w:tr>
      <w:tr w:rsidR="00BC7888" w:rsidRPr="00BC7888" w:rsidTr="00BC7888">
        <w:trPr>
          <w:tblCellSpacing w:w="0" w:type="dxa"/>
        </w:trPr>
        <w:tc>
          <w:tcPr>
            <w:tcW w:w="898" w:type="dxa"/>
            <w:vAlign w:val="center"/>
            <w:hideMark/>
          </w:tcPr>
          <w:p w:rsidR="00BC7888" w:rsidRPr="00BC7888" w:rsidRDefault="00BC7888" w:rsidP="00BC7888">
            <w:pPr>
              <w:jc w:val="center"/>
              <w:rPr>
                <w:rFonts w:ascii="Times New Roman" w:hAnsi="Times New Roman"/>
                <w:sz w:val="24"/>
                <w:szCs w:val="24"/>
                <w:lang w:val="de-DE"/>
              </w:rPr>
            </w:pPr>
            <w:r>
              <w:rPr>
                <w:rFonts w:ascii="Times New Roman" w:hAnsi="Times New Roman"/>
                <w:sz w:val="24"/>
                <w:szCs w:val="24"/>
                <w:lang w:val="de-DE"/>
              </w:rPr>
              <w:t>ROK</w:t>
            </w:r>
          </w:p>
        </w:tc>
        <w:tc>
          <w:tcPr>
            <w:tcW w:w="2364" w:type="dxa"/>
            <w:gridSpan w:val="2"/>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Other</w:t>
            </w:r>
          </w:p>
        </w:tc>
        <w:tc>
          <w:tcPr>
            <w:tcW w:w="2634" w:type="dxa"/>
            <w:vAlign w:val="center"/>
            <w:hideMark/>
          </w:tcPr>
          <w:p w:rsidR="00BC7888" w:rsidRPr="00BC7888" w:rsidRDefault="00BC7888" w:rsidP="00BC7888">
            <w:pPr>
              <w:rPr>
                <w:rFonts w:ascii="Times New Roman" w:hAnsi="Times New Roman"/>
                <w:sz w:val="24"/>
                <w:szCs w:val="24"/>
                <w:lang w:val="de-DE"/>
              </w:rPr>
            </w:pPr>
            <w:proofErr w:type="spellStart"/>
            <w:r w:rsidRPr="00BC7888">
              <w:rPr>
                <w:rFonts w:ascii="Times New Roman" w:hAnsi="Times New Roman"/>
                <w:sz w:val="24"/>
                <w:szCs w:val="24"/>
                <w:lang w:val="de-DE"/>
              </w:rPr>
              <w:t>Gyeongmin</w:t>
            </w:r>
            <w:proofErr w:type="spellEnd"/>
            <w:r w:rsidRPr="00BC7888">
              <w:rPr>
                <w:rFonts w:ascii="Times New Roman" w:hAnsi="Times New Roman"/>
                <w:sz w:val="24"/>
                <w:szCs w:val="24"/>
                <w:lang w:val="de-DE"/>
              </w:rPr>
              <w:t> JO</w:t>
            </w:r>
          </w:p>
        </w:tc>
        <w:tc>
          <w:tcPr>
            <w:tcW w:w="3176" w:type="dxa"/>
            <w:vAlign w:val="center"/>
            <w:hideMark/>
          </w:tcPr>
          <w:p w:rsidR="00BC7888" w:rsidRPr="00BC7888" w:rsidRDefault="00BC7888" w:rsidP="00BC7888">
            <w:pPr>
              <w:rPr>
                <w:rFonts w:ascii="Times New Roman" w:hAnsi="Times New Roman"/>
                <w:sz w:val="24"/>
                <w:szCs w:val="24"/>
                <w:lang w:val="de-DE"/>
              </w:rPr>
            </w:pPr>
            <w:r w:rsidRPr="00BC7888">
              <w:rPr>
                <w:rFonts w:ascii="Times New Roman" w:hAnsi="Times New Roman"/>
                <w:sz w:val="24"/>
                <w:szCs w:val="24"/>
                <w:lang w:val="de-DE"/>
              </w:rPr>
              <w:t>gmjo@theprost.net</w:t>
            </w:r>
          </w:p>
        </w:tc>
      </w:tr>
    </w:tbl>
    <w:p w:rsidR="00BD2842" w:rsidRDefault="00BD2842" w:rsidP="002A69DC"/>
    <w:p w:rsidR="00BD2842" w:rsidRDefault="00BD2842">
      <w:r>
        <w:br w:type="page"/>
      </w:r>
    </w:p>
    <w:p w:rsidR="00AE3FFF" w:rsidRPr="00BD2842" w:rsidRDefault="00BD2842" w:rsidP="002A69DC">
      <w:pPr>
        <w:rPr>
          <w:b/>
        </w:rPr>
      </w:pPr>
      <w:r w:rsidRPr="00BD2842">
        <w:rPr>
          <w:b/>
        </w:rPr>
        <w:lastRenderedPageBreak/>
        <w:t>Annex C:</w:t>
      </w:r>
    </w:p>
    <w:p w:rsidR="00BD2842" w:rsidRDefault="00BD2842" w:rsidP="002A69DC">
      <w:pPr>
        <w:rPr>
          <w:lang w:val="fi-FI"/>
        </w:rPr>
      </w:pPr>
      <w:r>
        <w:t xml:space="preserve">Developed UML </w:t>
      </w:r>
      <w:proofErr w:type="gramStart"/>
      <w:r>
        <w:t>diagram  (</w:t>
      </w:r>
      <w:proofErr w:type="gramEnd"/>
      <w:r>
        <w:t xml:space="preserve">see also </w:t>
      </w:r>
      <w:hyperlink r:id="rId7" w:anchor="Format" w:history="1">
        <w:r>
          <w:rPr>
            <w:rStyle w:val="Hyperlink"/>
            <w:rFonts w:ascii="Arial" w:hAnsi="Arial" w:cs="Arial"/>
            <w:lang w:val="fi-FI"/>
          </w:rPr>
          <w:t>http://wp12183585.server-he.de/npubwiki/wiki/index.php/NtM_Chart-correction_XML#Format</w:t>
        </w:r>
      </w:hyperlink>
      <w:r>
        <w:rPr>
          <w:lang w:val="fi-FI"/>
        </w:rPr>
        <w:t xml:space="preserve"> )</w:t>
      </w:r>
    </w:p>
    <w:p w:rsidR="00BD2842" w:rsidRDefault="00BD2842" w:rsidP="002A69DC"/>
    <w:p w:rsidR="00BD2842" w:rsidRPr="00755384" w:rsidRDefault="00BD2842" w:rsidP="002A69DC">
      <w:r>
        <w:rPr>
          <w:noProof/>
          <w:color w:val="0000FF"/>
          <w:lang w:val="de-DE"/>
        </w:rPr>
        <w:drawing>
          <wp:inline distT="0" distB="0" distL="0" distR="0">
            <wp:extent cx="5760720" cy="3569913"/>
            <wp:effectExtent l="0" t="0" r="0" b="0"/>
            <wp:docPr id="1" name="Grafik 1" descr="UML NtM conceptual structur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NtM conceptual structure.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569913"/>
                    </a:xfrm>
                    <a:prstGeom prst="rect">
                      <a:avLst/>
                    </a:prstGeom>
                    <a:noFill/>
                    <a:ln>
                      <a:noFill/>
                    </a:ln>
                  </pic:spPr>
                </pic:pic>
              </a:graphicData>
            </a:graphic>
          </wp:inline>
        </w:drawing>
      </w:r>
    </w:p>
    <w:sectPr w:rsidR="00BD2842" w:rsidRPr="00755384">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386E"/>
    <w:multiLevelType w:val="hybridMultilevel"/>
    <w:tmpl w:val="B720F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4A1BD2"/>
    <w:multiLevelType w:val="hybridMultilevel"/>
    <w:tmpl w:val="D722B2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1777795"/>
    <w:multiLevelType w:val="hybridMultilevel"/>
    <w:tmpl w:val="A18627B6"/>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347165C"/>
    <w:multiLevelType w:val="hybridMultilevel"/>
    <w:tmpl w:val="6636B59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9B86120"/>
    <w:multiLevelType w:val="hybridMultilevel"/>
    <w:tmpl w:val="9F864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384"/>
    <w:rsid w:val="00045417"/>
    <w:rsid w:val="00095E89"/>
    <w:rsid w:val="000C0613"/>
    <w:rsid w:val="000C5294"/>
    <w:rsid w:val="00110B01"/>
    <w:rsid w:val="0012641B"/>
    <w:rsid w:val="00154FE8"/>
    <w:rsid w:val="00165188"/>
    <w:rsid w:val="001979AF"/>
    <w:rsid w:val="002738F9"/>
    <w:rsid w:val="002A69DC"/>
    <w:rsid w:val="00307420"/>
    <w:rsid w:val="0042163F"/>
    <w:rsid w:val="004B6943"/>
    <w:rsid w:val="004B7C60"/>
    <w:rsid w:val="004C5855"/>
    <w:rsid w:val="0051486E"/>
    <w:rsid w:val="0052610C"/>
    <w:rsid w:val="00551F22"/>
    <w:rsid w:val="005D12C3"/>
    <w:rsid w:val="00614132"/>
    <w:rsid w:val="006941D6"/>
    <w:rsid w:val="006B1DFF"/>
    <w:rsid w:val="006F3F56"/>
    <w:rsid w:val="006F7BAA"/>
    <w:rsid w:val="00705E87"/>
    <w:rsid w:val="00741059"/>
    <w:rsid w:val="00755384"/>
    <w:rsid w:val="007635D3"/>
    <w:rsid w:val="00814D08"/>
    <w:rsid w:val="00821A9F"/>
    <w:rsid w:val="00841710"/>
    <w:rsid w:val="00892260"/>
    <w:rsid w:val="008C39BE"/>
    <w:rsid w:val="00A13022"/>
    <w:rsid w:val="00AA061B"/>
    <w:rsid w:val="00AE3FFF"/>
    <w:rsid w:val="00B05B19"/>
    <w:rsid w:val="00B72493"/>
    <w:rsid w:val="00BC7888"/>
    <w:rsid w:val="00BD2842"/>
    <w:rsid w:val="00C467E2"/>
    <w:rsid w:val="00CF1882"/>
    <w:rsid w:val="00D14BBE"/>
    <w:rsid w:val="00D47113"/>
    <w:rsid w:val="00D471DC"/>
    <w:rsid w:val="00D87B05"/>
    <w:rsid w:val="00E20062"/>
    <w:rsid w:val="00E43564"/>
    <w:rsid w:val="00FC23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061B"/>
    <w:rPr>
      <w:rFonts w:ascii="Helvetica" w:hAnsi="Helvetica"/>
      <w:sz w:val="2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A061B"/>
    <w:rPr>
      <w:rFonts w:ascii="Helvetica" w:hAnsi="Helvetica"/>
      <w:sz w:val="22"/>
      <w:lang w:val="en-GB"/>
    </w:rPr>
  </w:style>
  <w:style w:type="paragraph" w:styleId="Listenabsatz">
    <w:name w:val="List Paragraph"/>
    <w:basedOn w:val="Standard"/>
    <w:uiPriority w:val="34"/>
    <w:qFormat/>
    <w:rsid w:val="004C5855"/>
    <w:pPr>
      <w:ind w:left="720"/>
      <w:contextualSpacing/>
    </w:pPr>
  </w:style>
  <w:style w:type="paragraph" w:styleId="Sprechblasentext">
    <w:name w:val="Balloon Text"/>
    <w:basedOn w:val="Standard"/>
    <w:link w:val="SprechblasentextZchn"/>
    <w:uiPriority w:val="99"/>
    <w:semiHidden/>
    <w:unhideWhenUsed/>
    <w:rsid w:val="00BD284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2842"/>
    <w:rPr>
      <w:rFonts w:ascii="Tahoma" w:hAnsi="Tahoma" w:cs="Tahoma"/>
      <w:sz w:val="16"/>
      <w:szCs w:val="16"/>
      <w:lang w:val="en-GB"/>
    </w:rPr>
  </w:style>
  <w:style w:type="character" w:styleId="Hyperlink">
    <w:name w:val="Hyperlink"/>
    <w:basedOn w:val="Absatz-Standardschriftart"/>
    <w:uiPriority w:val="99"/>
    <w:semiHidden/>
    <w:unhideWhenUsed/>
    <w:rsid w:val="00BD28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061B"/>
    <w:rPr>
      <w:rFonts w:ascii="Helvetica" w:hAnsi="Helvetica"/>
      <w:sz w:val="2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A061B"/>
    <w:rPr>
      <w:rFonts w:ascii="Helvetica" w:hAnsi="Helvetica"/>
      <w:sz w:val="22"/>
      <w:lang w:val="en-GB"/>
    </w:rPr>
  </w:style>
  <w:style w:type="paragraph" w:styleId="Listenabsatz">
    <w:name w:val="List Paragraph"/>
    <w:basedOn w:val="Standard"/>
    <w:uiPriority w:val="34"/>
    <w:qFormat/>
    <w:rsid w:val="004C5855"/>
    <w:pPr>
      <w:ind w:left="720"/>
      <w:contextualSpacing/>
    </w:pPr>
  </w:style>
  <w:style w:type="paragraph" w:styleId="Sprechblasentext">
    <w:name w:val="Balloon Text"/>
    <w:basedOn w:val="Standard"/>
    <w:link w:val="SprechblasentextZchn"/>
    <w:uiPriority w:val="99"/>
    <w:semiHidden/>
    <w:unhideWhenUsed/>
    <w:rsid w:val="00BD284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2842"/>
    <w:rPr>
      <w:rFonts w:ascii="Tahoma" w:hAnsi="Tahoma" w:cs="Tahoma"/>
      <w:sz w:val="16"/>
      <w:szCs w:val="16"/>
      <w:lang w:val="en-GB"/>
    </w:rPr>
  </w:style>
  <w:style w:type="character" w:styleId="Hyperlink">
    <w:name w:val="Hyperlink"/>
    <w:basedOn w:val="Absatz-Standardschriftart"/>
    <w:uiPriority w:val="99"/>
    <w:semiHidden/>
    <w:unhideWhenUsed/>
    <w:rsid w:val="00BD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75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p12183585.server-he.de/npubwiki/wiki/index.php/File:UML_NtM_conceptual_structure.png" TargetMode="External"/><Relationship Id="rId3" Type="http://schemas.openxmlformats.org/officeDocument/2006/relationships/styles" Target="styles.xml"/><Relationship Id="rId7" Type="http://schemas.openxmlformats.org/officeDocument/2006/relationships/hyperlink" Target="http://wp12183585.server-he.de/npubwiki/wiki/index.php/NtM_Chart-correction_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E8F65-8EAE-4156-A56C-3367DDC9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205966BF.dotm</Template>
  <TotalTime>0</TotalTime>
  <Pages>6</Pages>
  <Words>928</Words>
  <Characters>5386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BSH</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Schröder-Fürstenberg</dc:creator>
  <cp:lastModifiedBy>Jens Schröder-Fürstenberg</cp:lastModifiedBy>
  <cp:revision>5</cp:revision>
  <dcterms:created xsi:type="dcterms:W3CDTF">2018-10-14T18:16:00Z</dcterms:created>
  <dcterms:modified xsi:type="dcterms:W3CDTF">2018-10-15T04:37:00Z</dcterms:modified>
</cp:coreProperties>
</file>