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89" w:type="dxa"/>
        <w:tblLayout w:type="fixed"/>
        <w:tblLook w:val="0000" w:firstRow="0" w:lastRow="0" w:firstColumn="0" w:lastColumn="0" w:noHBand="0" w:noVBand="0"/>
      </w:tblPr>
      <w:tblGrid>
        <w:gridCol w:w="4428"/>
        <w:gridCol w:w="5461"/>
      </w:tblGrid>
      <w:tr w:rsidR="000348ED" w:rsidRPr="00AA2626" w:rsidTr="00050DA7">
        <w:tc>
          <w:tcPr>
            <w:tcW w:w="4428" w:type="dxa"/>
          </w:tcPr>
          <w:p w:rsidR="000348ED" w:rsidRPr="00AA2626" w:rsidRDefault="005D05AC" w:rsidP="008E2DE5">
            <w:bookmarkStart w:id="0" w:name="_GoBack"/>
            <w:bookmarkEnd w:id="0"/>
            <w:r w:rsidRPr="00AA2626">
              <w:t>From:</w:t>
            </w:r>
            <w:r w:rsidRPr="00AA2626">
              <w:tab/>
            </w:r>
            <w:r w:rsidR="008E2DE5">
              <w:t xml:space="preserve">ENAV </w:t>
            </w:r>
            <w:r w:rsidRPr="008E2DE5">
              <w:t>C</w:t>
            </w:r>
            <w:r w:rsidR="00050DA7" w:rsidRPr="008E2DE5">
              <w:t>ommittee</w:t>
            </w:r>
          </w:p>
        </w:tc>
        <w:tc>
          <w:tcPr>
            <w:tcW w:w="5461" w:type="dxa"/>
          </w:tcPr>
          <w:p w:rsidR="000348ED" w:rsidRPr="00AA2626" w:rsidRDefault="008E2DE5" w:rsidP="008E2DE5">
            <w:pPr>
              <w:rPr>
                <w:highlight w:val="yellow"/>
              </w:rPr>
            </w:pPr>
            <w:r>
              <w:rPr>
                <w:highlight w:val="yellow"/>
              </w:rPr>
              <w:t>ENAV18</w:t>
            </w:r>
            <w:r w:rsidR="005D05AC" w:rsidRPr="00AA2626">
              <w:t>/output/</w:t>
            </w:r>
            <w:r w:rsidR="00277D2C">
              <w:rPr>
                <w:highlight w:val="yellow"/>
              </w:rPr>
              <w:t>14.1.19</w:t>
            </w:r>
          </w:p>
        </w:tc>
      </w:tr>
      <w:tr w:rsidR="000348ED" w:rsidRPr="00AA2626" w:rsidTr="00050DA7">
        <w:tc>
          <w:tcPr>
            <w:tcW w:w="4428" w:type="dxa"/>
          </w:tcPr>
          <w:p w:rsidR="000348ED" w:rsidRPr="00AA2626" w:rsidRDefault="005D05AC" w:rsidP="008E2DE5">
            <w:r w:rsidRPr="00AA2626">
              <w:t>To:</w:t>
            </w:r>
            <w:r w:rsidRPr="00AA2626">
              <w:tab/>
            </w:r>
            <w:r w:rsidR="008E2DE5">
              <w:t>Policy Advisory Panel</w:t>
            </w:r>
          </w:p>
        </w:tc>
        <w:tc>
          <w:tcPr>
            <w:tcW w:w="5461" w:type="dxa"/>
          </w:tcPr>
          <w:p w:rsidR="000348ED" w:rsidRPr="00AA2626" w:rsidRDefault="008E2DE5" w:rsidP="002B0236">
            <w:r>
              <w:t>19 March 2016</w:t>
            </w:r>
          </w:p>
        </w:tc>
      </w:tr>
    </w:tbl>
    <w:p w:rsidR="000348ED" w:rsidRPr="00AA2626" w:rsidRDefault="00AA2626" w:rsidP="002B0236">
      <w:pPr>
        <w:pStyle w:val="Title"/>
      </w:pPr>
      <w:r>
        <w:t>LIAISON NOTE</w:t>
      </w:r>
    </w:p>
    <w:p w:rsidR="000348ED" w:rsidRPr="00AA2626" w:rsidRDefault="008E2DE5" w:rsidP="002B0236">
      <w:pPr>
        <w:pStyle w:val="Title"/>
      </w:pPr>
      <w:r>
        <w:t>Maritime Resource Names</w:t>
      </w:r>
    </w:p>
    <w:p w:rsidR="0064435F" w:rsidRPr="00AA2626" w:rsidRDefault="008E7A45" w:rsidP="002B0236">
      <w:pPr>
        <w:pStyle w:val="Heading1"/>
      </w:pPr>
      <w:r w:rsidRPr="00AA2626">
        <w:t>INTRODUCTION</w:t>
      </w:r>
    </w:p>
    <w:p w:rsidR="00B22DFE" w:rsidRDefault="00A11400" w:rsidP="00B22DFE">
      <w:pPr>
        <w:ind w:firstLineChars="250" w:firstLine="550"/>
      </w:pPr>
      <w:r>
        <w:t xml:space="preserve">ENAV17 produced </w:t>
      </w:r>
      <w:r w:rsidR="00B22DFE">
        <w:t xml:space="preserve">the draft </w:t>
      </w:r>
      <w:r w:rsidR="00C437AA" w:rsidRPr="00C437AA">
        <w:rPr>
          <w:i/>
        </w:rPr>
        <w:t>G</w:t>
      </w:r>
      <w:r w:rsidR="00B22DFE" w:rsidRPr="00C437AA">
        <w:rPr>
          <w:i/>
        </w:rPr>
        <w:t>uideline on Unique Identifiers for Maritime Resources</w:t>
      </w:r>
      <w:r w:rsidR="005971E0">
        <w:t xml:space="preserve">, </w:t>
      </w:r>
      <w:r>
        <w:t xml:space="preserve">and a liaison note to PAP </w:t>
      </w:r>
      <w:r w:rsidR="005971E0">
        <w:t xml:space="preserve">introducing the </w:t>
      </w:r>
      <w:r w:rsidR="005971E0" w:rsidRPr="00C437AA">
        <w:rPr>
          <w:i/>
        </w:rPr>
        <w:t>Maritime Resource Name</w:t>
      </w:r>
      <w:r w:rsidR="005971E0">
        <w:t xml:space="preserve"> </w:t>
      </w:r>
      <w:r w:rsidR="00C437AA">
        <w:t xml:space="preserve">(MRN) </w:t>
      </w:r>
      <w:r w:rsidR="005971E0">
        <w:t xml:space="preserve">as a method for creation of </w:t>
      </w:r>
      <w:r w:rsidR="00C437AA">
        <w:t xml:space="preserve">globally </w:t>
      </w:r>
      <w:r w:rsidR="005971E0">
        <w:t>Unique Identifiers</w:t>
      </w:r>
      <w:r w:rsidR="00B22DFE">
        <w:t>.</w:t>
      </w:r>
      <w:r>
        <w:t xml:space="preserve"> PAP decided to initiate an e-mail discussion with members </w:t>
      </w:r>
      <w:r w:rsidR="00F549AC">
        <w:t xml:space="preserve">and </w:t>
      </w:r>
      <w:r>
        <w:t xml:space="preserve">study more use cases to determine what should be the scope of this </w:t>
      </w:r>
      <w:r w:rsidR="00EF47C3">
        <w:t>guideline</w:t>
      </w:r>
      <w:r>
        <w:t>.</w:t>
      </w:r>
    </w:p>
    <w:p w:rsidR="00B22DFE" w:rsidRDefault="00B22DFE" w:rsidP="00B22DFE">
      <w:pPr>
        <w:ind w:firstLineChars="250" w:firstLine="550"/>
      </w:pPr>
    </w:p>
    <w:p w:rsidR="008E2DE5" w:rsidRDefault="00D5029D" w:rsidP="00D5029D">
      <w:r>
        <w:t>Further i</w:t>
      </w:r>
      <w:r w:rsidR="008E2DE5">
        <w:t>nputs to ENAV18 considered this matter, and t</w:t>
      </w:r>
      <w:r w:rsidR="00A11400">
        <w:t>his Liaison note discuss</w:t>
      </w:r>
      <w:r w:rsidR="00C60405">
        <w:t>es:</w:t>
      </w:r>
    </w:p>
    <w:p w:rsidR="00A11400" w:rsidRDefault="00A11400" w:rsidP="00B22DFE">
      <w:pPr>
        <w:ind w:firstLineChars="250" w:firstLine="550"/>
      </w:pPr>
      <w:r>
        <w:t xml:space="preserve"> </w:t>
      </w:r>
    </w:p>
    <w:p w:rsidR="00A11400" w:rsidRDefault="00A11400" w:rsidP="00A11400">
      <w:pPr>
        <w:pStyle w:val="ListParagraph"/>
        <w:numPr>
          <w:ilvl w:val="0"/>
          <w:numId w:val="30"/>
        </w:numPr>
      </w:pPr>
      <w:r>
        <w:t xml:space="preserve">The </w:t>
      </w:r>
      <w:r w:rsidR="008E2DE5">
        <w:t xml:space="preserve">background </w:t>
      </w:r>
      <w:r>
        <w:t>behind the MRN</w:t>
      </w:r>
    </w:p>
    <w:p w:rsidR="00B22DFE" w:rsidRDefault="00F549AC" w:rsidP="00A11400">
      <w:pPr>
        <w:pStyle w:val="ListParagraph"/>
        <w:numPr>
          <w:ilvl w:val="0"/>
          <w:numId w:val="30"/>
        </w:numPr>
      </w:pPr>
      <w:r>
        <w:t>A</w:t>
      </w:r>
      <w:r w:rsidR="00A11400">
        <w:t xml:space="preserve">dditional </w:t>
      </w:r>
      <w:r w:rsidR="00C437AA">
        <w:t>u</w:t>
      </w:r>
      <w:r w:rsidR="00B22DFE">
        <w:t>se</w:t>
      </w:r>
      <w:r w:rsidR="00C437AA">
        <w:t xml:space="preserve"> </w:t>
      </w:r>
      <w:r w:rsidR="00B22DFE">
        <w:t xml:space="preserve">cases </w:t>
      </w:r>
      <w:r w:rsidR="00A11400">
        <w:t xml:space="preserve">and </w:t>
      </w:r>
      <w:r w:rsidR="00C437AA">
        <w:t xml:space="preserve">examples of </w:t>
      </w:r>
      <w:r w:rsidR="008E2DE5">
        <w:t xml:space="preserve">possible application of </w:t>
      </w:r>
      <w:r w:rsidR="00C437AA">
        <w:t xml:space="preserve">the MRN </w:t>
      </w:r>
    </w:p>
    <w:p w:rsidR="00A11400" w:rsidRDefault="00C60405" w:rsidP="00A11400">
      <w:pPr>
        <w:pStyle w:val="ListParagraph"/>
        <w:numPr>
          <w:ilvl w:val="0"/>
          <w:numId w:val="30"/>
        </w:numPr>
      </w:pPr>
      <w:r>
        <w:t>The b</w:t>
      </w:r>
      <w:r w:rsidR="00A11400">
        <w:t>urden this introduces or how this may affect IALA</w:t>
      </w:r>
    </w:p>
    <w:p w:rsidR="00A11400" w:rsidRDefault="00C60405" w:rsidP="00A11400">
      <w:pPr>
        <w:pStyle w:val="ListParagraph"/>
        <w:numPr>
          <w:ilvl w:val="0"/>
          <w:numId w:val="30"/>
        </w:numPr>
      </w:pPr>
      <w:r>
        <w:t>The b</w:t>
      </w:r>
      <w:r w:rsidR="00A11400">
        <w:t xml:space="preserve">urden on </w:t>
      </w:r>
      <w:r w:rsidR="00F549AC">
        <w:t xml:space="preserve">external bodied </w:t>
      </w:r>
      <w:r w:rsidR="00A11400">
        <w:t>applying the MRN methodology</w:t>
      </w:r>
    </w:p>
    <w:p w:rsidR="00D5029D" w:rsidRDefault="00D5029D" w:rsidP="00D5029D">
      <w:pPr>
        <w:pStyle w:val="ListParagraph"/>
        <w:numPr>
          <w:ilvl w:val="0"/>
          <w:numId w:val="30"/>
        </w:numPr>
      </w:pPr>
      <w:r>
        <w:t>Actions needed to progress and a possible way ahead</w:t>
      </w:r>
    </w:p>
    <w:p w:rsidR="00B22DFE" w:rsidRDefault="00B22DFE" w:rsidP="00B22DFE">
      <w:pPr>
        <w:pStyle w:val="Heading1"/>
      </w:pPr>
      <w:r>
        <w:t>Background</w:t>
      </w:r>
    </w:p>
    <w:p w:rsidR="00B22DFE" w:rsidRDefault="00B22DFE" w:rsidP="00B22DFE">
      <w:r>
        <w:t xml:space="preserve">The IHO noted in the paper HSSC6-5.4B problems HOs may be confronted with </w:t>
      </w:r>
      <w:r w:rsidR="00C60405">
        <w:t>when</w:t>
      </w:r>
      <w:r>
        <w:t xml:space="preserve"> </w:t>
      </w:r>
      <w:r w:rsidR="00C60405">
        <w:t xml:space="preserve">an </w:t>
      </w:r>
      <w:r>
        <w:t xml:space="preserve">existing light numbering schema </w:t>
      </w:r>
      <w:r w:rsidR="00C60405">
        <w:t>c</w:t>
      </w:r>
      <w:r>
        <w:t>hange</w:t>
      </w:r>
      <w:r w:rsidR="00C60405">
        <w:t>s</w:t>
      </w:r>
      <w:r>
        <w:t xml:space="preserve"> by either the producing HO (national light numbers) or the UKHO (international light number). The paper discussed the advantages of a Persistent Unique Identifier for lights and possible consequences. The paper proposed the establishment of a close IALA-IHO liaison on the light numbering development in particular and additionally, the harmonisation of the light numbering systems between the IHO and the IALA to the widest </w:t>
      </w:r>
      <w:r w:rsidR="00C217D1">
        <w:t xml:space="preserve">possible </w:t>
      </w:r>
      <w:r>
        <w:t xml:space="preserve">extent. </w:t>
      </w:r>
    </w:p>
    <w:p w:rsidR="00B22DFE" w:rsidRDefault="00B22DFE" w:rsidP="00B22DFE">
      <w:pPr>
        <w:jc w:val="both"/>
      </w:pPr>
    </w:p>
    <w:p w:rsidR="00B22DFE" w:rsidRDefault="00F640CD" w:rsidP="00F640CD">
      <w:r>
        <w:t>In addition to light numbers, t</w:t>
      </w:r>
      <w:r w:rsidR="00B22DFE">
        <w:t xml:space="preserve">he </w:t>
      </w:r>
      <w:r>
        <w:t xml:space="preserve">larger scale </w:t>
      </w:r>
      <w:r w:rsidR="00B22DFE">
        <w:t xml:space="preserve">use of unique identifiers is a necessary development </w:t>
      </w:r>
      <w:r>
        <w:t xml:space="preserve">across </w:t>
      </w:r>
      <w:r w:rsidR="00B22DFE">
        <w:t xml:space="preserve">e-Navigation to maintain harmonization across domains and services. Navigationally unique objects such as </w:t>
      </w:r>
      <w:r w:rsidR="00C60405">
        <w:t>A</w:t>
      </w:r>
      <w:r w:rsidR="00B22DFE">
        <w:t xml:space="preserve">ids to </w:t>
      </w:r>
      <w:r w:rsidR="00C60405">
        <w:t>N</w:t>
      </w:r>
      <w:r w:rsidR="00B22DFE">
        <w:t>aviga</w:t>
      </w:r>
      <w:r w:rsidR="00C60405">
        <w:t>tion, VTS products and services and</w:t>
      </w:r>
      <w:r w:rsidR="00B22DFE">
        <w:t xml:space="preserve"> other maritime </w:t>
      </w:r>
      <w:r w:rsidR="00EF47C3">
        <w:t xml:space="preserve">resources </w:t>
      </w:r>
      <w:r w:rsidR="00B22DFE">
        <w:t>require identification to avoid duplication and misalignment.</w:t>
      </w:r>
    </w:p>
    <w:p w:rsidR="005971E0" w:rsidRDefault="005971E0" w:rsidP="00B22DFE">
      <w:pPr>
        <w:pStyle w:val="Heading1"/>
      </w:pPr>
      <w:r>
        <w:t>Introduction to Maritime Resource Names</w:t>
      </w:r>
    </w:p>
    <w:p w:rsidR="00283E96" w:rsidRDefault="00283E96" w:rsidP="00283E96">
      <w:pPr>
        <w:pStyle w:val="Heading2"/>
      </w:pPr>
      <w:r>
        <w:t>Namespaces</w:t>
      </w:r>
    </w:p>
    <w:p w:rsidR="00C437AA" w:rsidRDefault="00EF47C3" w:rsidP="00C437AA">
      <w:pPr>
        <w:rPr>
          <w:lang w:eastAsia="de-DE"/>
        </w:rPr>
      </w:pPr>
      <w:r>
        <w:rPr>
          <w:lang w:eastAsia="de-DE"/>
        </w:rPr>
        <w:t xml:space="preserve">Based on </w:t>
      </w:r>
      <w:r w:rsidR="00775B3C">
        <w:rPr>
          <w:lang w:eastAsia="de-DE"/>
        </w:rPr>
        <w:t>protocol</w:t>
      </w:r>
      <w:r>
        <w:rPr>
          <w:lang w:eastAsia="de-DE"/>
        </w:rPr>
        <w:t xml:space="preserve">s </w:t>
      </w:r>
      <w:r w:rsidR="00C60405">
        <w:rPr>
          <w:lang w:eastAsia="de-DE"/>
        </w:rPr>
        <w:t xml:space="preserve">in the </w:t>
      </w:r>
      <w:r>
        <w:rPr>
          <w:lang w:eastAsia="de-DE"/>
        </w:rPr>
        <w:t>well</w:t>
      </w:r>
      <w:r w:rsidR="00C60405">
        <w:rPr>
          <w:lang w:eastAsia="de-DE"/>
        </w:rPr>
        <w:t xml:space="preserve">-established and </w:t>
      </w:r>
      <w:r w:rsidR="00C217D1">
        <w:rPr>
          <w:lang w:eastAsia="de-DE"/>
        </w:rPr>
        <w:t>proven</w:t>
      </w:r>
      <w:r>
        <w:rPr>
          <w:lang w:eastAsia="de-DE"/>
        </w:rPr>
        <w:t xml:space="preserve"> </w:t>
      </w:r>
      <w:r w:rsidR="00C60405">
        <w:rPr>
          <w:lang w:eastAsia="de-DE"/>
        </w:rPr>
        <w:t xml:space="preserve">format </w:t>
      </w:r>
      <w:r w:rsidR="00775B3C">
        <w:rPr>
          <w:lang w:eastAsia="de-DE"/>
        </w:rPr>
        <w:t xml:space="preserve">from </w:t>
      </w:r>
      <w:r>
        <w:rPr>
          <w:lang w:eastAsia="de-DE"/>
        </w:rPr>
        <w:t xml:space="preserve">the internet domain – the Uniform Resource Name </w:t>
      </w:r>
      <w:r w:rsidR="00C217D1">
        <w:rPr>
          <w:lang w:eastAsia="de-DE"/>
        </w:rPr>
        <w:t xml:space="preserve">(URN) </w:t>
      </w:r>
      <w:r w:rsidR="00F549AC">
        <w:rPr>
          <w:lang w:eastAsia="de-DE"/>
        </w:rPr>
        <w:t>–</w:t>
      </w:r>
      <w:r>
        <w:rPr>
          <w:lang w:eastAsia="de-DE"/>
        </w:rPr>
        <w:t xml:space="preserve"> </w:t>
      </w:r>
      <w:r w:rsidR="00F549AC">
        <w:rPr>
          <w:lang w:eastAsia="de-DE"/>
        </w:rPr>
        <w:t>th</w:t>
      </w:r>
      <w:r w:rsidR="00D5029D">
        <w:rPr>
          <w:lang w:eastAsia="de-DE"/>
        </w:rPr>
        <w:t>e</w:t>
      </w:r>
      <w:r w:rsidR="00F549AC">
        <w:rPr>
          <w:lang w:eastAsia="de-DE"/>
        </w:rPr>
        <w:t xml:space="preserve"> </w:t>
      </w:r>
      <w:r>
        <w:rPr>
          <w:lang w:eastAsia="de-DE"/>
        </w:rPr>
        <w:t xml:space="preserve">draft guideline </w:t>
      </w:r>
      <w:r w:rsidR="00F549AC">
        <w:rPr>
          <w:lang w:eastAsia="de-DE"/>
        </w:rPr>
        <w:t xml:space="preserve">produced at ENAV17 </w:t>
      </w:r>
      <w:r>
        <w:rPr>
          <w:lang w:eastAsia="de-DE"/>
        </w:rPr>
        <w:t>on Unique Identifiers for Maritime Resources proposes to establish a unique ‘namespace’ denoted ‘Maritime Resource Name’</w:t>
      </w:r>
      <w:r w:rsidR="00C217D1">
        <w:rPr>
          <w:lang w:eastAsia="de-DE"/>
        </w:rPr>
        <w:t xml:space="preserve">.  </w:t>
      </w:r>
      <w:r>
        <w:rPr>
          <w:lang w:eastAsia="de-DE"/>
        </w:rPr>
        <w:t xml:space="preserve">Within this namespace IALA – and sister organisations like IHO – can define </w:t>
      </w:r>
      <w:r w:rsidR="00F549AC">
        <w:rPr>
          <w:lang w:eastAsia="de-DE"/>
        </w:rPr>
        <w:t xml:space="preserve">their own </w:t>
      </w:r>
      <w:r>
        <w:rPr>
          <w:lang w:eastAsia="de-DE"/>
        </w:rPr>
        <w:t>types of identif</w:t>
      </w:r>
      <w:r w:rsidR="00C217D1">
        <w:rPr>
          <w:lang w:eastAsia="de-DE"/>
        </w:rPr>
        <w:t>i</w:t>
      </w:r>
      <w:r>
        <w:rPr>
          <w:lang w:eastAsia="de-DE"/>
        </w:rPr>
        <w:t xml:space="preserve">ers for objects within their respective </w:t>
      </w:r>
      <w:r>
        <w:rPr>
          <w:lang w:eastAsia="de-DE"/>
        </w:rPr>
        <w:lastRenderedPageBreak/>
        <w:t>domains</w:t>
      </w:r>
      <w:r w:rsidR="00C217D1">
        <w:rPr>
          <w:lang w:eastAsia="de-DE"/>
        </w:rPr>
        <w:t xml:space="preserve">. Issuing identifiers can be </w:t>
      </w:r>
      <w:r>
        <w:rPr>
          <w:lang w:eastAsia="de-DE"/>
        </w:rPr>
        <w:t>delegate</w:t>
      </w:r>
      <w:r w:rsidR="00C217D1">
        <w:rPr>
          <w:lang w:eastAsia="de-DE"/>
        </w:rPr>
        <w:t>d by subdivision of the namespaces into national domains or any number of organizational layers.</w:t>
      </w:r>
    </w:p>
    <w:p w:rsidR="00C217D1" w:rsidRDefault="00C217D1" w:rsidP="00C437AA">
      <w:pPr>
        <w:rPr>
          <w:lang w:eastAsia="de-DE"/>
        </w:rPr>
      </w:pPr>
    </w:p>
    <w:p w:rsidR="00C217D1" w:rsidRDefault="00C217D1" w:rsidP="00C437AA">
      <w:pPr>
        <w:rPr>
          <w:lang w:eastAsia="de-DE"/>
        </w:rPr>
      </w:pPr>
      <w:r>
        <w:rPr>
          <w:lang w:eastAsia="de-DE"/>
        </w:rPr>
        <w:t xml:space="preserve">This subdivision </w:t>
      </w:r>
      <w:r w:rsidR="00982F25">
        <w:rPr>
          <w:lang w:eastAsia="de-DE"/>
        </w:rPr>
        <w:t xml:space="preserve">will </w:t>
      </w:r>
      <w:r>
        <w:rPr>
          <w:lang w:eastAsia="de-DE"/>
        </w:rPr>
        <w:t xml:space="preserve">allow existing AtoN providers or HOs </w:t>
      </w:r>
      <w:r w:rsidR="003318E5">
        <w:rPr>
          <w:lang w:eastAsia="de-DE"/>
        </w:rPr>
        <w:t xml:space="preserve">exposing data from their </w:t>
      </w:r>
      <w:r w:rsidR="00F549AC">
        <w:rPr>
          <w:lang w:eastAsia="de-DE"/>
        </w:rPr>
        <w:t xml:space="preserve">internal </w:t>
      </w:r>
      <w:r w:rsidR="003318E5">
        <w:rPr>
          <w:lang w:eastAsia="de-DE"/>
        </w:rPr>
        <w:t xml:space="preserve">AtoN database to </w:t>
      </w:r>
      <w:r w:rsidR="003318E5" w:rsidRPr="00F549AC">
        <w:rPr>
          <w:lang w:eastAsia="de-DE"/>
        </w:rPr>
        <w:t>external</w:t>
      </w:r>
      <w:r w:rsidR="003318E5">
        <w:rPr>
          <w:lang w:eastAsia="de-DE"/>
        </w:rPr>
        <w:t xml:space="preserve"> agencies </w:t>
      </w:r>
      <w:r w:rsidR="00982F25">
        <w:rPr>
          <w:lang w:eastAsia="de-DE"/>
        </w:rPr>
        <w:t xml:space="preserve">to apply the syntax provided by the guideline </w:t>
      </w:r>
      <w:r w:rsidR="003318E5">
        <w:rPr>
          <w:lang w:eastAsia="de-DE"/>
        </w:rPr>
        <w:t>as a simple prefix to existing inter</w:t>
      </w:r>
      <w:r w:rsidR="00CF5D7A">
        <w:rPr>
          <w:lang w:eastAsia="de-DE"/>
        </w:rPr>
        <w:t>n</w:t>
      </w:r>
      <w:r w:rsidR="003318E5">
        <w:rPr>
          <w:lang w:eastAsia="de-DE"/>
        </w:rPr>
        <w:t>al identifiers</w:t>
      </w:r>
      <w:r w:rsidR="00283E96">
        <w:rPr>
          <w:lang w:eastAsia="de-DE"/>
        </w:rPr>
        <w:t xml:space="preserve">. </w:t>
      </w:r>
      <w:r w:rsidR="00982F25">
        <w:rPr>
          <w:lang w:eastAsia="de-DE"/>
        </w:rPr>
        <w:t>I</w:t>
      </w:r>
      <w:r w:rsidR="00283E96">
        <w:rPr>
          <w:lang w:eastAsia="de-DE"/>
        </w:rPr>
        <w:t>nside the contex</w:t>
      </w:r>
      <w:r w:rsidR="00F640CD">
        <w:rPr>
          <w:lang w:eastAsia="de-DE"/>
        </w:rPr>
        <w:t>t</w:t>
      </w:r>
      <w:r w:rsidR="00283E96">
        <w:rPr>
          <w:lang w:eastAsia="de-DE"/>
        </w:rPr>
        <w:t xml:space="preserve"> of the existing AtoN</w:t>
      </w:r>
      <w:r w:rsidR="00CF5D7A">
        <w:rPr>
          <w:lang w:eastAsia="de-DE"/>
        </w:rPr>
        <w:t xml:space="preserve"> </w:t>
      </w:r>
      <w:r w:rsidR="00283E96">
        <w:rPr>
          <w:lang w:eastAsia="de-DE"/>
        </w:rPr>
        <w:t xml:space="preserve">database or national list of lights, </w:t>
      </w:r>
      <w:r w:rsidR="00CF5D7A">
        <w:rPr>
          <w:lang w:eastAsia="de-DE"/>
        </w:rPr>
        <w:t>no change</w:t>
      </w:r>
      <w:r w:rsidR="00283E96">
        <w:rPr>
          <w:lang w:eastAsia="de-DE"/>
        </w:rPr>
        <w:t xml:space="preserve"> </w:t>
      </w:r>
      <w:r w:rsidR="00CF5D7A">
        <w:rPr>
          <w:lang w:eastAsia="de-DE"/>
        </w:rPr>
        <w:t>to the internal processes of the AtoN providers or HOs</w:t>
      </w:r>
      <w:r w:rsidR="00283E96">
        <w:rPr>
          <w:lang w:eastAsia="de-DE"/>
        </w:rPr>
        <w:t xml:space="preserve"> are required</w:t>
      </w:r>
      <w:r w:rsidR="00CF5D7A">
        <w:rPr>
          <w:lang w:eastAsia="de-DE"/>
        </w:rPr>
        <w:t xml:space="preserve">. </w:t>
      </w:r>
      <w:r w:rsidR="00982F25">
        <w:rPr>
          <w:lang w:eastAsia="de-DE"/>
        </w:rPr>
        <w:t xml:space="preserve">Applying the prefix specified by the guideline </w:t>
      </w:r>
      <w:r w:rsidR="00CF5D7A">
        <w:rPr>
          <w:lang w:eastAsia="de-DE"/>
        </w:rPr>
        <w:t xml:space="preserve">will however </w:t>
      </w:r>
      <w:r w:rsidR="003318E5">
        <w:rPr>
          <w:lang w:eastAsia="de-DE"/>
        </w:rPr>
        <w:t>ensur</w:t>
      </w:r>
      <w:r w:rsidR="00CF5D7A">
        <w:rPr>
          <w:lang w:eastAsia="de-DE"/>
        </w:rPr>
        <w:t xml:space="preserve">e </w:t>
      </w:r>
      <w:r w:rsidR="003318E5">
        <w:rPr>
          <w:lang w:eastAsia="de-DE"/>
        </w:rPr>
        <w:t xml:space="preserve">that the identifier </w:t>
      </w:r>
      <w:r w:rsidR="00CF5D7A">
        <w:rPr>
          <w:lang w:eastAsia="de-DE"/>
        </w:rPr>
        <w:t xml:space="preserve">of an AtoN will </w:t>
      </w:r>
      <w:r w:rsidR="003318E5">
        <w:rPr>
          <w:lang w:eastAsia="de-DE"/>
        </w:rPr>
        <w:t>be globally unique</w:t>
      </w:r>
      <w:r w:rsidR="00CF5D7A">
        <w:rPr>
          <w:lang w:eastAsia="de-DE"/>
        </w:rPr>
        <w:t>, even though different countries or providers apply different and uncoordinated numbering mechanisms</w:t>
      </w:r>
      <w:r w:rsidR="003318E5">
        <w:rPr>
          <w:lang w:eastAsia="de-DE"/>
        </w:rPr>
        <w:t>.</w:t>
      </w:r>
    </w:p>
    <w:p w:rsidR="00C217D1" w:rsidRDefault="00C217D1" w:rsidP="00C437AA">
      <w:pPr>
        <w:rPr>
          <w:lang w:eastAsia="de-DE"/>
        </w:rPr>
      </w:pPr>
    </w:p>
    <w:p w:rsidR="00283E96" w:rsidRDefault="00283E96" w:rsidP="00283E96">
      <w:pPr>
        <w:rPr>
          <w:lang w:eastAsia="de-DE"/>
        </w:rPr>
      </w:pPr>
      <w:r>
        <w:rPr>
          <w:lang w:eastAsia="de-DE"/>
        </w:rPr>
        <w:t>Example</w:t>
      </w:r>
      <w:r w:rsidR="00D9199C">
        <w:rPr>
          <w:lang w:eastAsia="de-DE"/>
        </w:rPr>
        <w:t xml:space="preserve"> – the unique AtoN identification</w:t>
      </w:r>
      <w:r>
        <w:rPr>
          <w:lang w:eastAsia="de-DE"/>
        </w:rPr>
        <w:t>:</w:t>
      </w:r>
      <w:r w:rsidR="00D9199C">
        <w:rPr>
          <w:lang w:eastAsia="de-DE"/>
        </w:rPr>
        <w:tab/>
      </w:r>
      <w:r w:rsidR="00D9199C">
        <w:rPr>
          <w:lang w:eastAsia="de-DE"/>
        </w:rPr>
        <w:tab/>
      </w:r>
    </w:p>
    <w:p w:rsidR="00D9199C" w:rsidRDefault="00D9199C" w:rsidP="00283E96">
      <w:pPr>
        <w:rPr>
          <w:lang w:eastAsia="de-DE"/>
        </w:rPr>
      </w:pPr>
    </w:p>
    <w:p w:rsidR="00D9199C" w:rsidRDefault="00283E96" w:rsidP="00283E96">
      <w:pPr>
        <w:rPr>
          <w:lang w:eastAsia="de-DE"/>
        </w:rPr>
      </w:pPr>
      <w:r>
        <w:rPr>
          <w:lang w:eastAsia="de-DE"/>
        </w:rPr>
        <w:t xml:space="preserve">The MRN namespace: </w:t>
      </w:r>
      <w:r w:rsidR="009B2EFE">
        <w:rPr>
          <w:lang w:eastAsia="de-DE"/>
        </w:rPr>
        <w:tab/>
      </w:r>
      <w:r w:rsidR="009B2EFE">
        <w:rPr>
          <w:lang w:eastAsia="de-DE"/>
        </w:rPr>
        <w:tab/>
      </w:r>
      <w:r w:rsidR="009B2EFE">
        <w:rPr>
          <w:lang w:eastAsia="de-DE"/>
        </w:rPr>
        <w:tab/>
      </w:r>
      <w:r w:rsidR="009B2EFE">
        <w:rPr>
          <w:lang w:eastAsia="de-DE"/>
        </w:rPr>
        <w:tab/>
      </w:r>
      <w:r w:rsidR="009B2EFE">
        <w:rPr>
          <w:lang w:eastAsia="de-DE"/>
        </w:rPr>
        <w:tab/>
      </w:r>
      <w:r w:rsidR="009B2EFE">
        <w:rPr>
          <w:b/>
          <w:lang w:eastAsia="de-DE"/>
        </w:rPr>
        <w:t>“urn:mrn</w:t>
      </w:r>
      <w:r w:rsidR="009B2EFE" w:rsidRPr="00EC0F06">
        <w:rPr>
          <w:b/>
          <w:lang w:eastAsia="de-DE"/>
        </w:rPr>
        <w:t>”</w:t>
      </w:r>
    </w:p>
    <w:p w:rsidR="00283E96" w:rsidRDefault="00283E96" w:rsidP="00283E96">
      <w:pPr>
        <w:rPr>
          <w:lang w:eastAsia="de-DE"/>
        </w:rPr>
      </w:pPr>
      <w:r>
        <w:rPr>
          <w:lang w:eastAsia="de-DE"/>
        </w:rPr>
        <w:t xml:space="preserve">IALA’s </w:t>
      </w:r>
      <w:r w:rsidR="00C60405">
        <w:rPr>
          <w:lang w:eastAsia="de-DE"/>
        </w:rPr>
        <w:t xml:space="preserve">domain within </w:t>
      </w:r>
      <w:r>
        <w:rPr>
          <w:lang w:eastAsia="de-DE"/>
        </w:rPr>
        <w:t xml:space="preserve">the namespace: </w:t>
      </w:r>
      <w:r w:rsidR="009B2EFE">
        <w:rPr>
          <w:lang w:eastAsia="de-DE"/>
        </w:rPr>
        <w:tab/>
      </w:r>
      <w:r w:rsidR="009B2EFE">
        <w:rPr>
          <w:lang w:eastAsia="de-DE"/>
        </w:rPr>
        <w:tab/>
      </w:r>
      <w:r w:rsidR="009B2EFE">
        <w:rPr>
          <w:lang w:eastAsia="de-DE"/>
        </w:rPr>
        <w:tab/>
      </w:r>
      <w:r w:rsidR="009B2EFE">
        <w:rPr>
          <w:b/>
          <w:lang w:eastAsia="de-DE"/>
        </w:rPr>
        <w:t>“urn:mrn:iala</w:t>
      </w:r>
      <w:r w:rsidR="009B2EFE" w:rsidRPr="00EC0F06">
        <w:rPr>
          <w:b/>
          <w:lang w:eastAsia="de-DE"/>
        </w:rPr>
        <w:t>”</w:t>
      </w:r>
    </w:p>
    <w:p w:rsidR="00283E96" w:rsidRDefault="00283E96" w:rsidP="00283E96">
      <w:pPr>
        <w:rPr>
          <w:lang w:eastAsia="de-DE"/>
        </w:rPr>
      </w:pPr>
      <w:r>
        <w:rPr>
          <w:lang w:eastAsia="de-DE"/>
        </w:rPr>
        <w:t>IALA’s definition of a prefix for an AtoN identifier</w:t>
      </w:r>
      <w:r w:rsidR="00D9199C">
        <w:rPr>
          <w:lang w:eastAsia="de-DE"/>
        </w:rPr>
        <w:t>:</w:t>
      </w:r>
      <w:r w:rsidR="009B2EFE">
        <w:rPr>
          <w:lang w:eastAsia="de-DE"/>
        </w:rPr>
        <w:tab/>
      </w:r>
      <w:r w:rsidR="009B2EFE" w:rsidRPr="00EC0F06">
        <w:rPr>
          <w:b/>
          <w:lang w:eastAsia="de-DE"/>
        </w:rPr>
        <w:t>“urn:mrn:iala:aton”</w:t>
      </w:r>
    </w:p>
    <w:p w:rsidR="00283E96" w:rsidRDefault="00283E96" w:rsidP="00283E96">
      <w:pPr>
        <w:rPr>
          <w:lang w:eastAsia="de-DE"/>
        </w:rPr>
      </w:pPr>
      <w:r>
        <w:rPr>
          <w:lang w:eastAsia="de-DE"/>
        </w:rPr>
        <w:t xml:space="preserve">The prefix of an AtoN established by the United States: </w:t>
      </w:r>
      <w:r w:rsidR="009B2EFE">
        <w:rPr>
          <w:lang w:eastAsia="de-DE"/>
        </w:rPr>
        <w:tab/>
      </w:r>
      <w:r w:rsidR="009B2EFE" w:rsidRPr="00EC0F06">
        <w:rPr>
          <w:b/>
          <w:lang w:eastAsia="de-DE"/>
        </w:rPr>
        <w:t>“urn:mrn:iala:aton:</w:t>
      </w:r>
      <w:r w:rsidR="009B2EFE">
        <w:rPr>
          <w:b/>
          <w:lang w:eastAsia="de-DE"/>
        </w:rPr>
        <w:t>us</w:t>
      </w:r>
      <w:r w:rsidR="009B2EFE" w:rsidRPr="00EC0F06">
        <w:rPr>
          <w:b/>
          <w:lang w:eastAsia="de-DE"/>
        </w:rPr>
        <w:t>”</w:t>
      </w:r>
    </w:p>
    <w:p w:rsidR="00283E96" w:rsidRDefault="00D9199C" w:rsidP="00283E96">
      <w:pPr>
        <w:rPr>
          <w:lang w:eastAsia="de-DE"/>
        </w:rPr>
      </w:pPr>
      <w:r>
        <w:rPr>
          <w:lang w:eastAsia="de-DE"/>
        </w:rPr>
        <w:t xml:space="preserve">Thus, an </w:t>
      </w:r>
      <w:r w:rsidR="00283E96">
        <w:rPr>
          <w:lang w:eastAsia="de-DE"/>
        </w:rPr>
        <w:t>AtoN established under the responsibility of the United States, who issued the identifier 1234.5 for the AtoN in the US list of lights</w:t>
      </w:r>
      <w:r>
        <w:rPr>
          <w:lang w:eastAsia="de-DE"/>
        </w:rPr>
        <w:t>, will internationally be</w:t>
      </w:r>
      <w:r w:rsidR="00283E96">
        <w:rPr>
          <w:lang w:eastAsia="de-DE"/>
        </w:rPr>
        <w:t xml:space="preserve">: </w:t>
      </w:r>
      <w:r w:rsidR="009B2EFE">
        <w:rPr>
          <w:lang w:eastAsia="de-DE"/>
        </w:rPr>
        <w:tab/>
      </w:r>
      <w:r w:rsidR="00283E96" w:rsidRPr="00EC0F06">
        <w:rPr>
          <w:b/>
          <w:lang w:eastAsia="de-DE"/>
        </w:rPr>
        <w:t>“urn:mrn:iala:aton:us:1234.5”</w:t>
      </w:r>
    </w:p>
    <w:p w:rsidR="00D9199C" w:rsidRDefault="00D9199C" w:rsidP="00982F25">
      <w:pPr>
        <w:rPr>
          <w:lang w:eastAsia="de-DE"/>
        </w:rPr>
      </w:pPr>
    </w:p>
    <w:p w:rsidR="00982F25" w:rsidRDefault="00982F25" w:rsidP="00982F25">
      <w:pPr>
        <w:rPr>
          <w:b/>
          <w:lang w:eastAsia="de-DE"/>
        </w:rPr>
      </w:pPr>
      <w:r>
        <w:rPr>
          <w:lang w:eastAsia="de-DE"/>
        </w:rPr>
        <w:t xml:space="preserve">A </w:t>
      </w:r>
      <w:r w:rsidR="00F549AC">
        <w:rPr>
          <w:lang w:eastAsia="de-DE"/>
        </w:rPr>
        <w:t xml:space="preserve">similarly </w:t>
      </w:r>
      <w:r>
        <w:rPr>
          <w:lang w:eastAsia="de-DE"/>
        </w:rPr>
        <w:t xml:space="preserve">unique identifier for a particular AtoN established under the responsibility of the Sweden, who issued the identifier 1234.5 for the AtoN in the Swedish list of lights: </w:t>
      </w:r>
      <w:r w:rsidR="00D9199C" w:rsidRPr="00EC0F06">
        <w:rPr>
          <w:b/>
          <w:lang w:eastAsia="de-DE"/>
        </w:rPr>
        <w:t>“urn:mrn:iala:aton:</w:t>
      </w:r>
      <w:r w:rsidR="00D9199C">
        <w:rPr>
          <w:b/>
          <w:lang w:eastAsia="de-DE"/>
        </w:rPr>
        <w:t>se</w:t>
      </w:r>
      <w:r w:rsidR="00D9199C" w:rsidRPr="00EC0F06">
        <w:rPr>
          <w:b/>
          <w:lang w:eastAsia="de-DE"/>
        </w:rPr>
        <w:t>:1234.5”</w:t>
      </w:r>
    </w:p>
    <w:p w:rsidR="00E17762" w:rsidRDefault="00E17762" w:rsidP="00E17762">
      <w:pPr>
        <w:pStyle w:val="Heading2"/>
      </w:pPr>
      <w:r>
        <w:t>Applicability beyond IALA</w:t>
      </w:r>
    </w:p>
    <w:p w:rsidR="00EC0F06" w:rsidRDefault="00EC0F06" w:rsidP="00C437AA">
      <w:pPr>
        <w:rPr>
          <w:lang w:eastAsia="de-DE"/>
        </w:rPr>
      </w:pPr>
      <w:r>
        <w:rPr>
          <w:lang w:eastAsia="de-DE"/>
        </w:rPr>
        <w:t xml:space="preserve">The draft guideline assumes that IALA may wish to invite other organizations </w:t>
      </w:r>
      <w:r w:rsidR="00F549AC">
        <w:rPr>
          <w:lang w:eastAsia="de-DE"/>
        </w:rPr>
        <w:t xml:space="preserve">– such as the IHO - </w:t>
      </w:r>
      <w:r>
        <w:rPr>
          <w:lang w:eastAsia="de-DE"/>
        </w:rPr>
        <w:t>to apply the MRN notation, should they wish to do so.</w:t>
      </w:r>
    </w:p>
    <w:p w:rsidR="00F549AC" w:rsidRDefault="00F549AC" w:rsidP="00C437AA">
      <w:pPr>
        <w:rPr>
          <w:lang w:eastAsia="de-DE"/>
        </w:rPr>
      </w:pPr>
    </w:p>
    <w:p w:rsidR="00EC0F06" w:rsidRDefault="00F549AC" w:rsidP="00C437AA">
      <w:pPr>
        <w:rPr>
          <w:lang w:eastAsia="de-DE"/>
        </w:rPr>
      </w:pPr>
      <w:r>
        <w:rPr>
          <w:lang w:eastAsia="de-DE"/>
        </w:rPr>
        <w:t>Examples:</w:t>
      </w:r>
    </w:p>
    <w:p w:rsidR="00EC0F06" w:rsidRDefault="00EC0F06" w:rsidP="00EC0F06">
      <w:pPr>
        <w:rPr>
          <w:lang w:eastAsia="de-DE"/>
        </w:rPr>
      </w:pPr>
      <w:r>
        <w:rPr>
          <w:lang w:eastAsia="de-DE"/>
        </w:rPr>
        <w:t xml:space="preserve">IHO’s </w:t>
      </w:r>
      <w:r w:rsidR="00C60405">
        <w:rPr>
          <w:lang w:eastAsia="de-DE"/>
        </w:rPr>
        <w:t>domain within</w:t>
      </w:r>
      <w:r>
        <w:rPr>
          <w:lang w:eastAsia="de-DE"/>
        </w:rPr>
        <w:t xml:space="preserve"> the MRN namespace: </w:t>
      </w:r>
      <w:r w:rsidR="00C60405">
        <w:rPr>
          <w:lang w:eastAsia="de-DE"/>
        </w:rPr>
        <w:tab/>
      </w:r>
      <w:r w:rsidRPr="00EC0F06">
        <w:rPr>
          <w:b/>
          <w:lang w:eastAsia="de-DE"/>
        </w:rPr>
        <w:t>“urn:mrn:iho:”</w:t>
      </w:r>
      <w:r>
        <w:rPr>
          <w:lang w:eastAsia="de-DE"/>
        </w:rPr>
        <w:t xml:space="preserve"> </w:t>
      </w:r>
    </w:p>
    <w:p w:rsidR="00EC0F06" w:rsidRDefault="00EC0F06" w:rsidP="00EC0F06">
      <w:pPr>
        <w:rPr>
          <w:lang w:eastAsia="de-DE"/>
        </w:rPr>
      </w:pPr>
      <w:r>
        <w:rPr>
          <w:lang w:eastAsia="de-DE"/>
        </w:rPr>
        <w:t>IMO’s</w:t>
      </w:r>
      <w:r w:rsidR="00C60405">
        <w:rPr>
          <w:lang w:eastAsia="de-DE"/>
        </w:rPr>
        <w:t xml:space="preserve"> domain within </w:t>
      </w:r>
      <w:r>
        <w:rPr>
          <w:lang w:eastAsia="de-DE"/>
        </w:rPr>
        <w:t xml:space="preserve">the MRN namespace: </w:t>
      </w:r>
      <w:r w:rsidR="00C60405">
        <w:rPr>
          <w:lang w:eastAsia="de-DE"/>
        </w:rPr>
        <w:tab/>
      </w:r>
      <w:r w:rsidRPr="00EC0F06">
        <w:rPr>
          <w:b/>
          <w:lang w:eastAsia="de-DE"/>
        </w:rPr>
        <w:t>“urn:mrn:i</w:t>
      </w:r>
      <w:r>
        <w:rPr>
          <w:b/>
          <w:lang w:eastAsia="de-DE"/>
        </w:rPr>
        <w:t>m</w:t>
      </w:r>
      <w:r w:rsidRPr="00EC0F06">
        <w:rPr>
          <w:b/>
          <w:lang w:eastAsia="de-DE"/>
        </w:rPr>
        <w:t>o:”</w:t>
      </w:r>
      <w:r>
        <w:rPr>
          <w:lang w:eastAsia="de-DE"/>
        </w:rPr>
        <w:t xml:space="preserve"> </w:t>
      </w:r>
    </w:p>
    <w:p w:rsidR="00EC0F06" w:rsidRDefault="00EC0F06" w:rsidP="00EC0F06">
      <w:pPr>
        <w:rPr>
          <w:lang w:eastAsia="de-DE"/>
        </w:rPr>
      </w:pPr>
      <w:r>
        <w:rPr>
          <w:lang w:eastAsia="de-DE"/>
        </w:rPr>
        <w:t>ITU’s</w:t>
      </w:r>
      <w:r w:rsidR="00C60405">
        <w:rPr>
          <w:lang w:eastAsia="de-DE"/>
        </w:rPr>
        <w:t xml:space="preserve"> domain within </w:t>
      </w:r>
      <w:r>
        <w:rPr>
          <w:lang w:eastAsia="de-DE"/>
        </w:rPr>
        <w:t xml:space="preserve">the MRN namespace: </w:t>
      </w:r>
      <w:r w:rsidR="00C60405">
        <w:rPr>
          <w:lang w:eastAsia="de-DE"/>
        </w:rPr>
        <w:tab/>
      </w:r>
      <w:r w:rsidRPr="00EC0F06">
        <w:rPr>
          <w:b/>
          <w:lang w:eastAsia="de-DE"/>
        </w:rPr>
        <w:t>“urn:mrn:i</w:t>
      </w:r>
      <w:r>
        <w:rPr>
          <w:b/>
          <w:lang w:eastAsia="de-DE"/>
        </w:rPr>
        <w:t>tu</w:t>
      </w:r>
      <w:r w:rsidRPr="00EC0F06">
        <w:rPr>
          <w:b/>
          <w:lang w:eastAsia="de-DE"/>
        </w:rPr>
        <w:t>:”</w:t>
      </w:r>
      <w:r>
        <w:rPr>
          <w:lang w:eastAsia="de-DE"/>
        </w:rPr>
        <w:t xml:space="preserve"> </w:t>
      </w:r>
    </w:p>
    <w:p w:rsidR="00EC0F06" w:rsidRDefault="00EC0F06" w:rsidP="00EC0F06">
      <w:pPr>
        <w:rPr>
          <w:lang w:eastAsia="de-DE"/>
        </w:rPr>
      </w:pPr>
      <w:r>
        <w:rPr>
          <w:lang w:eastAsia="de-DE"/>
        </w:rPr>
        <w:t>CIRM’s</w:t>
      </w:r>
      <w:r w:rsidR="00C60405">
        <w:rPr>
          <w:lang w:eastAsia="de-DE"/>
        </w:rPr>
        <w:t xml:space="preserve"> domain within </w:t>
      </w:r>
      <w:r>
        <w:rPr>
          <w:lang w:eastAsia="de-DE"/>
        </w:rPr>
        <w:t xml:space="preserve">the MRN namespace: </w:t>
      </w:r>
      <w:r w:rsidR="00C60405">
        <w:rPr>
          <w:lang w:eastAsia="de-DE"/>
        </w:rPr>
        <w:tab/>
      </w:r>
      <w:r w:rsidRPr="00EC0F06">
        <w:rPr>
          <w:b/>
          <w:lang w:eastAsia="de-DE"/>
        </w:rPr>
        <w:t>“urn:mrn:</w:t>
      </w:r>
      <w:r>
        <w:rPr>
          <w:b/>
          <w:lang w:eastAsia="de-DE"/>
        </w:rPr>
        <w:t>cirm</w:t>
      </w:r>
      <w:r w:rsidRPr="00EC0F06">
        <w:rPr>
          <w:b/>
          <w:lang w:eastAsia="de-DE"/>
        </w:rPr>
        <w:t>:”</w:t>
      </w:r>
      <w:r>
        <w:rPr>
          <w:lang w:eastAsia="de-DE"/>
        </w:rPr>
        <w:t xml:space="preserve"> </w:t>
      </w:r>
    </w:p>
    <w:p w:rsidR="00EC0F06" w:rsidRDefault="00EC0F06" w:rsidP="00EC0F06">
      <w:pPr>
        <w:rPr>
          <w:lang w:eastAsia="de-DE"/>
        </w:rPr>
      </w:pPr>
      <w:r>
        <w:rPr>
          <w:lang w:eastAsia="de-DE"/>
        </w:rPr>
        <w:t>BIMCO’s</w:t>
      </w:r>
      <w:r w:rsidR="00C60405">
        <w:rPr>
          <w:lang w:eastAsia="de-DE"/>
        </w:rPr>
        <w:t xml:space="preserve"> domain within </w:t>
      </w:r>
      <w:r>
        <w:rPr>
          <w:lang w:eastAsia="de-DE"/>
        </w:rPr>
        <w:t xml:space="preserve">the MRN namespace: </w:t>
      </w:r>
      <w:r w:rsidR="00C60405">
        <w:rPr>
          <w:lang w:eastAsia="de-DE"/>
        </w:rPr>
        <w:tab/>
      </w:r>
      <w:r w:rsidRPr="00EC0F06">
        <w:rPr>
          <w:b/>
          <w:lang w:eastAsia="de-DE"/>
        </w:rPr>
        <w:t>“urn:mrn:</w:t>
      </w:r>
      <w:r>
        <w:rPr>
          <w:b/>
          <w:lang w:eastAsia="de-DE"/>
        </w:rPr>
        <w:t>bimco</w:t>
      </w:r>
      <w:r w:rsidRPr="00EC0F06">
        <w:rPr>
          <w:b/>
          <w:lang w:eastAsia="de-DE"/>
        </w:rPr>
        <w:t>:”</w:t>
      </w:r>
      <w:r>
        <w:rPr>
          <w:lang w:eastAsia="de-DE"/>
        </w:rPr>
        <w:t xml:space="preserve"> </w:t>
      </w:r>
    </w:p>
    <w:p w:rsidR="00EC0F06" w:rsidRDefault="00EC0F06" w:rsidP="00EC0F06">
      <w:pPr>
        <w:rPr>
          <w:lang w:eastAsia="de-DE"/>
        </w:rPr>
      </w:pPr>
      <w:r>
        <w:rPr>
          <w:lang w:eastAsia="de-DE"/>
        </w:rPr>
        <w:t>…</w:t>
      </w:r>
    </w:p>
    <w:p w:rsidR="00283E96" w:rsidRDefault="00982F25" w:rsidP="00283E96">
      <w:pPr>
        <w:pStyle w:val="Heading2"/>
      </w:pPr>
      <w:r>
        <w:t>D</w:t>
      </w:r>
      <w:r w:rsidR="00283E96">
        <w:t>ifferent types of identifiers</w:t>
      </w:r>
      <w:r>
        <w:t xml:space="preserve"> – but similar syntax</w:t>
      </w:r>
    </w:p>
    <w:p w:rsidR="00CF5D7A" w:rsidRDefault="00982F25" w:rsidP="00C437AA">
      <w:pPr>
        <w:rPr>
          <w:lang w:eastAsia="de-DE"/>
        </w:rPr>
      </w:pPr>
      <w:r>
        <w:rPr>
          <w:lang w:eastAsia="de-DE"/>
        </w:rPr>
        <w:t>T</w:t>
      </w:r>
      <w:r w:rsidR="00CF5D7A">
        <w:rPr>
          <w:lang w:eastAsia="de-DE"/>
        </w:rPr>
        <w:t>he MRN notation will allow very different objects to be identified by very different identif</w:t>
      </w:r>
      <w:r w:rsidR="00BE37A2">
        <w:rPr>
          <w:lang w:eastAsia="de-DE"/>
        </w:rPr>
        <w:t>iers</w:t>
      </w:r>
      <w:r w:rsidR="00CF5D7A">
        <w:rPr>
          <w:lang w:eastAsia="de-DE"/>
        </w:rPr>
        <w:t xml:space="preserve">, which can </w:t>
      </w:r>
      <w:r w:rsidR="007C19C9">
        <w:rPr>
          <w:lang w:eastAsia="de-DE"/>
        </w:rPr>
        <w:t xml:space="preserve">all </w:t>
      </w:r>
      <w:r w:rsidR="00CF5D7A">
        <w:rPr>
          <w:lang w:eastAsia="de-DE"/>
        </w:rPr>
        <w:t xml:space="preserve">be represented by </w:t>
      </w:r>
      <w:r w:rsidR="007C19C9">
        <w:rPr>
          <w:lang w:eastAsia="de-DE"/>
        </w:rPr>
        <w:t xml:space="preserve">the MRN </w:t>
      </w:r>
      <w:r w:rsidR="00CF5D7A">
        <w:rPr>
          <w:lang w:eastAsia="de-DE"/>
        </w:rPr>
        <w:t>notation with a common syntax rule set</w:t>
      </w:r>
      <w:r w:rsidR="00C416E8">
        <w:rPr>
          <w:lang w:eastAsia="de-DE"/>
        </w:rPr>
        <w:t>, although very differently constructed</w:t>
      </w:r>
      <w:r w:rsidR="00CF5D7A">
        <w:rPr>
          <w:lang w:eastAsia="de-DE"/>
        </w:rPr>
        <w:t>.</w:t>
      </w:r>
    </w:p>
    <w:p w:rsidR="00EC0F06" w:rsidRDefault="00EC0F06" w:rsidP="00C437AA">
      <w:pPr>
        <w:rPr>
          <w:lang w:eastAsia="de-DE"/>
        </w:rPr>
      </w:pPr>
    </w:p>
    <w:p w:rsidR="00EC0F06" w:rsidRDefault="00EC0F06" w:rsidP="00C437AA">
      <w:pPr>
        <w:rPr>
          <w:lang w:eastAsia="de-DE"/>
        </w:rPr>
      </w:pPr>
      <w:r>
        <w:rPr>
          <w:lang w:eastAsia="de-DE"/>
        </w:rPr>
        <w:t>Examples:</w:t>
      </w:r>
    </w:p>
    <w:p w:rsidR="00C416E8" w:rsidRDefault="00C416E8" w:rsidP="00C437AA">
      <w:pPr>
        <w:rPr>
          <w:lang w:eastAsia="de-DE"/>
        </w:rPr>
      </w:pPr>
      <w:r>
        <w:rPr>
          <w:lang w:eastAsia="de-DE"/>
        </w:rPr>
        <w:t>W26 Lighthouse, Great Belt, Denmark:</w:t>
      </w:r>
      <w:r>
        <w:rPr>
          <w:lang w:eastAsia="de-DE"/>
        </w:rPr>
        <w:tab/>
      </w:r>
      <w:r>
        <w:rPr>
          <w:lang w:eastAsia="de-DE"/>
        </w:rPr>
        <w:tab/>
      </w:r>
      <w:r w:rsidRPr="00C416E8">
        <w:rPr>
          <w:b/>
          <w:lang w:eastAsia="de-DE"/>
        </w:rPr>
        <w:t>urn:mrn:iala:aton:dk:021345-w26</w:t>
      </w:r>
    </w:p>
    <w:p w:rsidR="00EC0F06" w:rsidRDefault="00C416E8" w:rsidP="00C437AA">
      <w:pPr>
        <w:rPr>
          <w:lang w:eastAsia="de-DE"/>
        </w:rPr>
      </w:pPr>
      <w:r w:rsidRPr="00C416E8">
        <w:rPr>
          <w:lang w:eastAsia="de-DE"/>
        </w:rPr>
        <w:t>Great Belt</w:t>
      </w:r>
      <w:r>
        <w:rPr>
          <w:lang w:eastAsia="de-DE"/>
        </w:rPr>
        <w:t xml:space="preserve"> VTS</w:t>
      </w:r>
      <w:r w:rsidRPr="00C416E8">
        <w:rPr>
          <w:lang w:eastAsia="de-DE"/>
        </w:rPr>
        <w:t>:</w:t>
      </w:r>
      <w:r>
        <w:rPr>
          <w:b/>
          <w:lang w:eastAsia="de-DE"/>
        </w:rPr>
        <w:t xml:space="preserve"> </w:t>
      </w:r>
      <w:r>
        <w:rPr>
          <w:b/>
          <w:lang w:eastAsia="de-DE"/>
        </w:rPr>
        <w:tab/>
      </w:r>
      <w:r>
        <w:rPr>
          <w:b/>
          <w:lang w:eastAsia="de-DE"/>
        </w:rPr>
        <w:tab/>
      </w:r>
      <w:r>
        <w:rPr>
          <w:b/>
          <w:lang w:eastAsia="de-DE"/>
        </w:rPr>
        <w:tab/>
      </w:r>
      <w:r>
        <w:rPr>
          <w:b/>
          <w:lang w:eastAsia="de-DE"/>
        </w:rPr>
        <w:tab/>
      </w:r>
      <w:r>
        <w:rPr>
          <w:b/>
          <w:lang w:eastAsia="de-DE"/>
        </w:rPr>
        <w:tab/>
      </w:r>
      <w:r w:rsidR="00EC0F06" w:rsidRPr="00EC0F06">
        <w:rPr>
          <w:b/>
          <w:lang w:eastAsia="de-DE"/>
        </w:rPr>
        <w:t>urn:mrn:</w:t>
      </w:r>
      <w:r w:rsidR="00EC0F06">
        <w:rPr>
          <w:b/>
          <w:lang w:eastAsia="de-DE"/>
        </w:rPr>
        <w:t>iala</w:t>
      </w:r>
      <w:r w:rsidR="00EC0F06" w:rsidRPr="00EC0F06">
        <w:rPr>
          <w:b/>
          <w:lang w:eastAsia="de-DE"/>
        </w:rPr>
        <w:t>:</w:t>
      </w:r>
      <w:r w:rsidR="00EC0F06">
        <w:rPr>
          <w:b/>
          <w:lang w:eastAsia="de-DE"/>
        </w:rPr>
        <w:t>vts:vtsstation:</w:t>
      </w:r>
      <w:r>
        <w:rPr>
          <w:b/>
          <w:lang w:eastAsia="de-DE"/>
        </w:rPr>
        <w:t>dk</w:t>
      </w:r>
      <w:r w:rsidR="00EC0F06">
        <w:rPr>
          <w:b/>
          <w:lang w:eastAsia="de-DE"/>
        </w:rPr>
        <w:t>:</w:t>
      </w:r>
      <w:r>
        <w:rPr>
          <w:b/>
          <w:lang w:eastAsia="de-DE"/>
        </w:rPr>
        <w:t>vtsgreatbelt</w:t>
      </w:r>
    </w:p>
    <w:p w:rsidR="00EC0F06" w:rsidRDefault="00C416E8" w:rsidP="00EC0F06">
      <w:pPr>
        <w:rPr>
          <w:b/>
          <w:lang w:eastAsia="de-DE"/>
        </w:rPr>
      </w:pPr>
      <w:r w:rsidRPr="00C416E8">
        <w:rPr>
          <w:lang w:eastAsia="de-DE"/>
        </w:rPr>
        <w:t xml:space="preserve">Ship </w:t>
      </w:r>
      <w:r>
        <w:rPr>
          <w:lang w:eastAsia="de-DE"/>
        </w:rPr>
        <w:t>(the hull)</w:t>
      </w:r>
      <w:r w:rsidRPr="00C416E8">
        <w:rPr>
          <w:lang w:eastAsia="de-DE"/>
        </w:rPr>
        <w:t>:</w:t>
      </w:r>
      <w:r>
        <w:rPr>
          <w:b/>
          <w:lang w:eastAsia="de-DE"/>
        </w:rPr>
        <w:t xml:space="preserve"> </w:t>
      </w:r>
      <w:r>
        <w:rPr>
          <w:b/>
          <w:lang w:eastAsia="de-DE"/>
        </w:rPr>
        <w:tab/>
      </w:r>
      <w:r>
        <w:rPr>
          <w:b/>
          <w:lang w:eastAsia="de-DE"/>
        </w:rPr>
        <w:tab/>
      </w:r>
      <w:r w:rsidR="00283E96">
        <w:rPr>
          <w:b/>
          <w:lang w:eastAsia="de-DE"/>
        </w:rPr>
        <w:tab/>
      </w:r>
      <w:r w:rsidR="00283E96">
        <w:rPr>
          <w:b/>
          <w:lang w:eastAsia="de-DE"/>
        </w:rPr>
        <w:tab/>
      </w:r>
      <w:r w:rsidR="00283E96">
        <w:rPr>
          <w:b/>
          <w:lang w:eastAsia="de-DE"/>
        </w:rPr>
        <w:tab/>
      </w:r>
      <w:r w:rsidR="00EC0F06" w:rsidRPr="00EC0F06">
        <w:rPr>
          <w:b/>
          <w:lang w:eastAsia="de-DE"/>
        </w:rPr>
        <w:t>urn:mrn:</w:t>
      </w:r>
      <w:r>
        <w:rPr>
          <w:b/>
          <w:lang w:eastAsia="de-DE"/>
        </w:rPr>
        <w:t>imo:imonumber</w:t>
      </w:r>
      <w:r w:rsidR="00EC0F06">
        <w:rPr>
          <w:b/>
          <w:lang w:eastAsia="de-DE"/>
        </w:rPr>
        <w:t>:</w:t>
      </w:r>
      <w:r w:rsidRPr="00C416E8">
        <w:t xml:space="preserve"> </w:t>
      </w:r>
      <w:r w:rsidRPr="00C416E8">
        <w:rPr>
          <w:b/>
          <w:lang w:eastAsia="de-DE"/>
        </w:rPr>
        <w:t>9250969</w:t>
      </w:r>
    </w:p>
    <w:p w:rsidR="00C416E8" w:rsidRDefault="00C416E8" w:rsidP="00EC0F06">
      <w:pPr>
        <w:rPr>
          <w:b/>
          <w:lang w:eastAsia="de-DE"/>
        </w:rPr>
      </w:pPr>
      <w:r w:rsidRPr="00C416E8">
        <w:rPr>
          <w:lang w:eastAsia="de-DE"/>
        </w:rPr>
        <w:t xml:space="preserve">Ship </w:t>
      </w:r>
      <w:r>
        <w:rPr>
          <w:lang w:eastAsia="de-DE"/>
        </w:rPr>
        <w:t>(the radiostation)</w:t>
      </w:r>
      <w:r w:rsidRPr="00C416E8">
        <w:rPr>
          <w:lang w:eastAsia="de-DE"/>
        </w:rPr>
        <w:t>:</w:t>
      </w:r>
      <w:r>
        <w:rPr>
          <w:b/>
          <w:lang w:eastAsia="de-DE"/>
        </w:rPr>
        <w:t xml:space="preserve"> </w:t>
      </w:r>
      <w:r>
        <w:rPr>
          <w:b/>
          <w:lang w:eastAsia="de-DE"/>
        </w:rPr>
        <w:tab/>
      </w:r>
      <w:r w:rsidR="00283E96">
        <w:rPr>
          <w:b/>
          <w:lang w:eastAsia="de-DE"/>
        </w:rPr>
        <w:tab/>
      </w:r>
      <w:r w:rsidR="00283E96">
        <w:rPr>
          <w:b/>
          <w:lang w:eastAsia="de-DE"/>
        </w:rPr>
        <w:tab/>
      </w:r>
      <w:r w:rsidR="00283E96">
        <w:rPr>
          <w:b/>
          <w:lang w:eastAsia="de-DE"/>
        </w:rPr>
        <w:tab/>
      </w:r>
      <w:r>
        <w:rPr>
          <w:b/>
          <w:lang w:eastAsia="de-DE"/>
        </w:rPr>
        <w:t>urn:mrn:itu:mmsi:219543000</w:t>
      </w:r>
    </w:p>
    <w:p w:rsidR="00C416E8" w:rsidRDefault="00C416E8" w:rsidP="00C416E8">
      <w:pPr>
        <w:rPr>
          <w:b/>
          <w:lang w:eastAsia="de-DE"/>
        </w:rPr>
      </w:pPr>
      <w:r w:rsidRPr="00C416E8">
        <w:rPr>
          <w:lang w:eastAsia="de-DE"/>
        </w:rPr>
        <w:t xml:space="preserve">Ship </w:t>
      </w:r>
      <w:r>
        <w:rPr>
          <w:lang w:eastAsia="de-DE"/>
        </w:rPr>
        <w:t>(the radiostation)</w:t>
      </w:r>
      <w:r w:rsidRPr="00C416E8">
        <w:rPr>
          <w:lang w:eastAsia="de-DE"/>
        </w:rPr>
        <w:t>:</w:t>
      </w:r>
      <w:r>
        <w:rPr>
          <w:b/>
          <w:lang w:eastAsia="de-DE"/>
        </w:rPr>
        <w:t xml:space="preserve"> </w:t>
      </w:r>
      <w:r w:rsidR="00283E96">
        <w:rPr>
          <w:b/>
          <w:lang w:eastAsia="de-DE"/>
        </w:rPr>
        <w:tab/>
      </w:r>
      <w:r w:rsidR="00283E96">
        <w:rPr>
          <w:b/>
          <w:lang w:eastAsia="de-DE"/>
        </w:rPr>
        <w:tab/>
      </w:r>
      <w:r w:rsidR="00283E96">
        <w:rPr>
          <w:b/>
          <w:lang w:eastAsia="de-DE"/>
        </w:rPr>
        <w:tab/>
      </w:r>
      <w:r>
        <w:rPr>
          <w:b/>
          <w:lang w:eastAsia="de-DE"/>
        </w:rPr>
        <w:tab/>
        <w:t>urn:mrn:itu:callsign:xp4358</w:t>
      </w:r>
    </w:p>
    <w:p w:rsidR="00902AA4" w:rsidRDefault="00B22DFE" w:rsidP="00B22DFE">
      <w:pPr>
        <w:pStyle w:val="Heading1"/>
      </w:pPr>
      <w:r>
        <w:t>Potential use cases for applying the Maritime Resource Names</w:t>
      </w:r>
    </w:p>
    <w:p w:rsidR="00283E96" w:rsidRDefault="00283E96" w:rsidP="00982F25">
      <w:r>
        <w:t>W</w:t>
      </w:r>
      <w:r>
        <w:rPr>
          <w:snapToGrid w:val="0"/>
        </w:rPr>
        <w:t>orldwide harmonized Unique Identifiers for maritime resources can</w:t>
      </w:r>
      <w:r>
        <w:t xml:space="preserve"> </w:t>
      </w:r>
    </w:p>
    <w:p w:rsidR="00283E96" w:rsidRDefault="00283E96" w:rsidP="00283E96">
      <w:pPr>
        <w:numPr>
          <w:ilvl w:val="0"/>
          <w:numId w:val="29"/>
        </w:numPr>
        <w:tabs>
          <w:tab w:val="clear" w:pos="851"/>
        </w:tabs>
        <w:spacing w:after="120"/>
        <w:jc w:val="both"/>
      </w:pPr>
      <w:r>
        <w:t>assist in the development and maintenance of enhanced data exchange applications for ship to ship, ship to shore, shore to ship, and shore to shore in the context of e-Navigation;</w:t>
      </w:r>
    </w:p>
    <w:p w:rsidR="00283E96" w:rsidRDefault="00283E96" w:rsidP="00283E96">
      <w:pPr>
        <w:numPr>
          <w:ilvl w:val="0"/>
          <w:numId w:val="29"/>
        </w:numPr>
        <w:tabs>
          <w:tab w:val="clear" w:pos="851"/>
        </w:tabs>
        <w:spacing w:after="120"/>
        <w:jc w:val="both"/>
      </w:pPr>
      <w:r>
        <w:t xml:space="preserve">assist administrations in the efficient delivery of </w:t>
      </w:r>
      <w:r w:rsidR="00BE37A2">
        <w:t>m</w:t>
      </w:r>
      <w:r>
        <w:t xml:space="preserve">arine Information </w:t>
      </w:r>
      <w:r w:rsidR="00BE37A2">
        <w:t>s</w:t>
      </w:r>
      <w:r>
        <w:t>ervices.</w:t>
      </w:r>
    </w:p>
    <w:p w:rsidR="00283E96" w:rsidRDefault="00283E96" w:rsidP="00283E96">
      <w:pPr>
        <w:numPr>
          <w:ilvl w:val="0"/>
          <w:numId w:val="29"/>
        </w:numPr>
        <w:tabs>
          <w:tab w:val="clear" w:pos="851"/>
        </w:tabs>
        <w:spacing w:after="120"/>
        <w:jc w:val="both"/>
      </w:pPr>
      <w:r>
        <w:t>reduce the administrative burden associated with the maintenance associated with unique numbering of navigation  products;</w:t>
      </w:r>
    </w:p>
    <w:p w:rsidR="00E5720C" w:rsidRDefault="00E5720C" w:rsidP="00E5720C">
      <w:pPr>
        <w:tabs>
          <w:tab w:val="clear" w:pos="851"/>
        </w:tabs>
        <w:spacing w:after="120"/>
        <w:jc w:val="both"/>
      </w:pPr>
      <w:r>
        <w:t>The following sections provide use case examples of where the MRN notation could prove to be useful.</w:t>
      </w:r>
    </w:p>
    <w:p w:rsidR="00E5720C" w:rsidRDefault="00CA21C3" w:rsidP="00283E96">
      <w:pPr>
        <w:pStyle w:val="Heading2"/>
      </w:pPr>
      <w:r>
        <w:t xml:space="preserve">VTS </w:t>
      </w:r>
      <w:r w:rsidR="00283E96">
        <w:t>services</w:t>
      </w:r>
    </w:p>
    <w:p w:rsidR="00E5720C" w:rsidRDefault="00E5720C" w:rsidP="00E5720C">
      <w:pPr>
        <w:rPr>
          <w:lang w:eastAsia="de-DE"/>
        </w:rPr>
      </w:pPr>
      <w:r>
        <w:rPr>
          <w:lang w:eastAsia="de-DE"/>
        </w:rPr>
        <w:t xml:space="preserve">The </w:t>
      </w:r>
      <w:r w:rsidR="00C60405">
        <w:rPr>
          <w:lang w:eastAsia="de-DE"/>
        </w:rPr>
        <w:t xml:space="preserve">ENAV </w:t>
      </w:r>
      <w:r>
        <w:rPr>
          <w:lang w:eastAsia="de-DE"/>
        </w:rPr>
        <w:t xml:space="preserve">committee foresee that the VTS committee may wish to utilize the MRN notation to support definition of </w:t>
      </w:r>
    </w:p>
    <w:p w:rsidR="00E5720C" w:rsidRDefault="00E5720C" w:rsidP="00E5720C">
      <w:pPr>
        <w:pStyle w:val="ListParagraph"/>
        <w:numPr>
          <w:ilvl w:val="0"/>
          <w:numId w:val="31"/>
        </w:numPr>
        <w:rPr>
          <w:lang w:eastAsia="de-DE"/>
        </w:rPr>
      </w:pPr>
      <w:r>
        <w:rPr>
          <w:lang w:eastAsia="de-DE"/>
        </w:rPr>
        <w:t xml:space="preserve">Unique identifiers for </w:t>
      </w:r>
      <w:r w:rsidRPr="00E5720C">
        <w:rPr>
          <w:i/>
          <w:lang w:eastAsia="de-DE"/>
        </w:rPr>
        <w:t>types</w:t>
      </w:r>
      <w:r>
        <w:rPr>
          <w:lang w:eastAsia="de-DE"/>
        </w:rPr>
        <w:t xml:space="preserve"> of harmonized VTS services </w:t>
      </w:r>
    </w:p>
    <w:p w:rsidR="00E5720C" w:rsidRDefault="00E5720C" w:rsidP="00E5720C">
      <w:pPr>
        <w:pStyle w:val="ListParagraph"/>
        <w:numPr>
          <w:ilvl w:val="0"/>
          <w:numId w:val="31"/>
        </w:numPr>
        <w:rPr>
          <w:lang w:eastAsia="de-DE"/>
        </w:rPr>
      </w:pPr>
      <w:r>
        <w:rPr>
          <w:lang w:eastAsia="de-DE"/>
        </w:rPr>
        <w:t xml:space="preserve">Unique identifiers Individual </w:t>
      </w:r>
      <w:r w:rsidRPr="00E5720C">
        <w:rPr>
          <w:i/>
          <w:lang w:eastAsia="de-DE"/>
        </w:rPr>
        <w:t>instances</w:t>
      </w:r>
      <w:r>
        <w:rPr>
          <w:lang w:eastAsia="de-DE"/>
        </w:rPr>
        <w:t xml:space="preserve"> of harmonized services. </w:t>
      </w:r>
    </w:p>
    <w:p w:rsidR="00E5720C" w:rsidRDefault="00E5720C" w:rsidP="00E5720C">
      <w:pPr>
        <w:rPr>
          <w:lang w:eastAsia="de-DE"/>
        </w:rPr>
      </w:pPr>
    </w:p>
    <w:p w:rsidR="00E5720C" w:rsidRDefault="00E5720C" w:rsidP="00E5720C">
      <w:pPr>
        <w:rPr>
          <w:lang w:eastAsia="de-DE"/>
        </w:rPr>
      </w:pPr>
      <w:r>
        <w:rPr>
          <w:lang w:eastAsia="de-DE"/>
        </w:rPr>
        <w:t>Such unique identifiers would assist in searching a digital catalogue (such as the Service Registry proposed by the Maritime Cloud) of VTS services, discovering which harmonized services are available and locating the technical interface to an instance of a VTS service in a particular VTS area.</w:t>
      </w:r>
    </w:p>
    <w:p w:rsidR="00E5720C" w:rsidRDefault="00E5720C" w:rsidP="00E5720C">
      <w:pPr>
        <w:rPr>
          <w:lang w:eastAsia="de-DE"/>
        </w:rPr>
      </w:pPr>
      <w:r>
        <w:rPr>
          <w:lang w:eastAsia="de-DE"/>
        </w:rPr>
        <w:t xml:space="preserve"> </w:t>
      </w:r>
    </w:p>
    <w:p w:rsidR="00E5720C" w:rsidRDefault="00E5720C" w:rsidP="00E5720C">
      <w:pPr>
        <w:rPr>
          <w:lang w:eastAsia="de-DE"/>
        </w:rPr>
      </w:pPr>
      <w:r>
        <w:rPr>
          <w:lang w:eastAsia="de-DE"/>
        </w:rPr>
        <w:t>It is however the prerogative of the VTS committee to decide upon this. A separate Annex has been allocated for the VTS committee to consider, if relevant.</w:t>
      </w:r>
    </w:p>
    <w:p w:rsidR="00E5720C" w:rsidRDefault="00E5720C" w:rsidP="00E5720C">
      <w:pPr>
        <w:rPr>
          <w:lang w:eastAsia="de-DE"/>
        </w:rPr>
      </w:pPr>
    </w:p>
    <w:p w:rsidR="00E5720C" w:rsidRDefault="00E5720C" w:rsidP="00E5720C">
      <w:pPr>
        <w:rPr>
          <w:lang w:eastAsia="de-DE"/>
        </w:rPr>
      </w:pPr>
      <w:r>
        <w:rPr>
          <w:lang w:eastAsia="de-DE"/>
        </w:rPr>
        <w:t>Similarly, the ARM and ENG committees might have a need for their own annexes to the guideline.</w:t>
      </w:r>
    </w:p>
    <w:p w:rsidR="00E5720C" w:rsidRPr="00E5720C" w:rsidRDefault="00E5720C" w:rsidP="00E5720C">
      <w:pPr>
        <w:rPr>
          <w:lang w:eastAsia="de-DE"/>
        </w:rPr>
      </w:pPr>
    </w:p>
    <w:p w:rsidR="00CA21C3" w:rsidRDefault="00982F25" w:rsidP="00283E96">
      <w:pPr>
        <w:pStyle w:val="Heading2"/>
      </w:pPr>
      <w:r>
        <w:t xml:space="preserve">IALA publications </w:t>
      </w:r>
    </w:p>
    <w:p w:rsidR="00283E96" w:rsidRDefault="00E5720C" w:rsidP="00283E96">
      <w:pPr>
        <w:rPr>
          <w:lang w:eastAsia="de-DE"/>
        </w:rPr>
      </w:pPr>
      <w:r>
        <w:rPr>
          <w:lang w:eastAsia="de-DE"/>
        </w:rPr>
        <w:t xml:space="preserve">IALA could similarly utilize this notation to uniquely identify its publications, as a facilitator of automating an interface for retrieving the latest edition of any publication.  </w:t>
      </w:r>
      <w:r w:rsidR="00F640CD">
        <w:rPr>
          <w:lang w:eastAsia="de-DE"/>
        </w:rPr>
        <w:t>F</w:t>
      </w:r>
      <w:r>
        <w:rPr>
          <w:lang w:eastAsia="de-DE"/>
        </w:rPr>
        <w:t>or instance:</w:t>
      </w:r>
    </w:p>
    <w:p w:rsidR="00E5720C" w:rsidRDefault="00E5720C" w:rsidP="00283E96">
      <w:pPr>
        <w:rPr>
          <w:lang w:eastAsia="de-DE"/>
        </w:rPr>
      </w:pPr>
    </w:p>
    <w:p w:rsidR="00E5720C" w:rsidRDefault="00E5720C" w:rsidP="00283E96">
      <w:pPr>
        <w:rPr>
          <w:lang w:eastAsia="de-DE"/>
        </w:rPr>
      </w:pPr>
      <w:r>
        <w:rPr>
          <w:lang w:eastAsia="de-DE"/>
        </w:rPr>
        <w:t xml:space="preserve">Recommendations: </w:t>
      </w:r>
      <w:r w:rsidR="006C70FF">
        <w:rPr>
          <w:lang w:eastAsia="de-DE"/>
        </w:rPr>
        <w:tab/>
      </w:r>
      <w:r>
        <w:rPr>
          <w:lang w:eastAsia="de-DE"/>
        </w:rPr>
        <w:t>“urn:mrn:iala:publ:rec:</w:t>
      </w:r>
      <w:r w:rsidR="006C70FF">
        <w:rPr>
          <w:lang w:eastAsia="de-DE"/>
        </w:rPr>
        <w:t xml:space="preserve">A-124” </w:t>
      </w:r>
    </w:p>
    <w:p w:rsidR="00E5720C" w:rsidRDefault="00E5720C" w:rsidP="00283E96">
      <w:pPr>
        <w:rPr>
          <w:lang w:eastAsia="de-DE"/>
        </w:rPr>
      </w:pPr>
      <w:r>
        <w:rPr>
          <w:lang w:eastAsia="de-DE"/>
        </w:rPr>
        <w:t>Guidelines:</w:t>
      </w:r>
      <w:r w:rsidR="006C70FF">
        <w:rPr>
          <w:lang w:eastAsia="de-DE"/>
        </w:rPr>
        <w:tab/>
      </w:r>
      <w:r w:rsidR="006C70FF">
        <w:rPr>
          <w:lang w:eastAsia="de-DE"/>
        </w:rPr>
        <w:tab/>
        <w:t>“urn:mrn:iala:publ:guidel:1084”</w:t>
      </w:r>
    </w:p>
    <w:p w:rsidR="00283E96" w:rsidRDefault="00283E96" w:rsidP="00283E96">
      <w:pPr>
        <w:rPr>
          <w:lang w:eastAsia="de-DE"/>
        </w:rPr>
      </w:pPr>
    </w:p>
    <w:p w:rsidR="00E5720C" w:rsidRDefault="00E5720C" w:rsidP="00283E96">
      <w:pPr>
        <w:rPr>
          <w:lang w:eastAsia="de-DE"/>
        </w:rPr>
      </w:pPr>
      <w:r>
        <w:rPr>
          <w:lang w:eastAsia="de-DE"/>
        </w:rPr>
        <w:t xml:space="preserve">ISO has applied a similar approach for </w:t>
      </w:r>
      <w:r w:rsidR="00F549AC">
        <w:rPr>
          <w:lang w:eastAsia="de-DE"/>
        </w:rPr>
        <w:t xml:space="preserve">unique identification </w:t>
      </w:r>
      <w:r>
        <w:rPr>
          <w:lang w:eastAsia="de-DE"/>
        </w:rPr>
        <w:t>its publications.</w:t>
      </w:r>
    </w:p>
    <w:p w:rsidR="00CA21C3" w:rsidRDefault="00CA21C3" w:rsidP="00283E96">
      <w:pPr>
        <w:pStyle w:val="Heading2"/>
      </w:pPr>
      <w:r>
        <w:t>Waterways</w:t>
      </w:r>
      <w:r w:rsidR="00D1546D">
        <w:t xml:space="preserve"> (and other locations)</w:t>
      </w:r>
    </w:p>
    <w:p w:rsidR="003F5877" w:rsidRDefault="00BE37A2" w:rsidP="00BE37A2">
      <w:pPr>
        <w:rPr>
          <w:lang w:eastAsia="de-DE"/>
        </w:rPr>
      </w:pPr>
      <w:r>
        <w:rPr>
          <w:lang w:eastAsia="de-DE"/>
        </w:rPr>
        <w:t>For e-navigation, any m</w:t>
      </w:r>
      <w:r w:rsidR="00B22DFE">
        <w:rPr>
          <w:lang w:eastAsia="de-DE"/>
        </w:rPr>
        <w:t xml:space="preserve">ethodology to identify a </w:t>
      </w:r>
      <w:r w:rsidR="00C60405">
        <w:rPr>
          <w:lang w:eastAsia="de-DE"/>
        </w:rPr>
        <w:t xml:space="preserve">navigational </w:t>
      </w:r>
      <w:r w:rsidR="00B22DFE">
        <w:rPr>
          <w:lang w:eastAsia="de-DE"/>
        </w:rPr>
        <w:t>point of interest must be machine readable and discoverable in the digital environment.</w:t>
      </w:r>
      <w:r>
        <w:rPr>
          <w:lang w:eastAsia="de-DE"/>
        </w:rPr>
        <w:t xml:space="preserve">  </w:t>
      </w:r>
      <w:r w:rsidR="00085BFD">
        <w:rPr>
          <w:lang w:eastAsia="de-DE"/>
        </w:rPr>
        <w:t xml:space="preserve">While UNLOCODES are widely used to identify ports, they do not provide the levels of granularity that allow precise reference to particular waterways, terminals, other locations or areas. </w:t>
      </w:r>
      <w:r>
        <w:rPr>
          <w:lang w:eastAsia="de-DE"/>
        </w:rPr>
        <w:t>An ongoing initiative in the US is attempting to identify waterways uniquely, and harmonize their descriptions however t</w:t>
      </w:r>
      <w:r w:rsidR="003F5877">
        <w:rPr>
          <w:lang w:eastAsia="de-DE"/>
        </w:rPr>
        <w:t xml:space="preserve">hree different US </w:t>
      </w:r>
      <w:r>
        <w:rPr>
          <w:lang w:eastAsia="de-DE"/>
        </w:rPr>
        <w:t xml:space="preserve">agencies are currently using different </w:t>
      </w:r>
      <w:r w:rsidR="003F5877">
        <w:rPr>
          <w:lang w:eastAsia="de-DE"/>
        </w:rPr>
        <w:t>nam</w:t>
      </w:r>
      <w:r>
        <w:rPr>
          <w:lang w:eastAsia="de-DE"/>
        </w:rPr>
        <w:t xml:space="preserve">es to identify the </w:t>
      </w:r>
      <w:r w:rsidR="003F5877">
        <w:rPr>
          <w:lang w:eastAsia="de-DE"/>
        </w:rPr>
        <w:t>same waterway</w:t>
      </w:r>
      <w:r>
        <w:rPr>
          <w:lang w:eastAsia="de-DE"/>
        </w:rPr>
        <w:t>.</w:t>
      </w:r>
    </w:p>
    <w:p w:rsidR="00BE37A2" w:rsidRDefault="00BE37A2" w:rsidP="00BE37A2">
      <w:pPr>
        <w:rPr>
          <w:lang w:eastAsia="de-DE"/>
        </w:rPr>
      </w:pPr>
    </w:p>
    <w:p w:rsidR="00085BFD" w:rsidRDefault="00BE37A2" w:rsidP="00BE37A2">
      <w:pPr>
        <w:rPr>
          <w:lang w:eastAsia="de-DE"/>
        </w:rPr>
      </w:pPr>
      <w:r>
        <w:rPr>
          <w:lang w:eastAsia="de-DE"/>
        </w:rPr>
        <w:t xml:space="preserve">Many nations are facing similar challenges, and certainly between neighbouring countries it may be difficult to communicate precisely about areas defined differently by different stakeholders.  </w:t>
      </w:r>
    </w:p>
    <w:p w:rsidR="00085BFD" w:rsidRDefault="00085BFD" w:rsidP="00BE37A2">
      <w:pPr>
        <w:rPr>
          <w:lang w:eastAsia="de-DE"/>
        </w:rPr>
      </w:pPr>
    </w:p>
    <w:p w:rsidR="00BE37A2" w:rsidRDefault="00BE37A2" w:rsidP="00BE37A2">
      <w:pPr>
        <w:rPr>
          <w:lang w:eastAsia="de-DE"/>
        </w:rPr>
      </w:pPr>
      <w:r>
        <w:rPr>
          <w:lang w:eastAsia="de-DE"/>
        </w:rPr>
        <w:t xml:space="preserve">The MRN notation will not solve this challenge by itself, but it may introduce uniqueness to an area identifier, </w:t>
      </w:r>
      <w:r w:rsidR="00085BFD">
        <w:rPr>
          <w:lang w:eastAsia="de-DE"/>
        </w:rPr>
        <w:t xml:space="preserve">allowing further granularity to be appended to the identifier, and allowing </w:t>
      </w:r>
      <w:r>
        <w:rPr>
          <w:lang w:eastAsia="de-DE"/>
        </w:rPr>
        <w:t xml:space="preserve">a machine readable </w:t>
      </w:r>
      <w:r w:rsidR="00927DA0">
        <w:rPr>
          <w:lang w:eastAsia="de-DE"/>
        </w:rPr>
        <w:t>deduction of the origin of</w:t>
      </w:r>
      <w:r>
        <w:rPr>
          <w:lang w:eastAsia="de-DE"/>
        </w:rPr>
        <w:t xml:space="preserve"> the definition of </w:t>
      </w:r>
      <w:r w:rsidR="00085BFD">
        <w:rPr>
          <w:lang w:eastAsia="de-DE"/>
        </w:rPr>
        <w:t xml:space="preserve">each of these </w:t>
      </w:r>
      <w:r>
        <w:rPr>
          <w:lang w:eastAsia="de-DE"/>
        </w:rPr>
        <w:t>area</w:t>
      </w:r>
      <w:r w:rsidR="00085BFD">
        <w:rPr>
          <w:lang w:eastAsia="de-DE"/>
        </w:rPr>
        <w:t>s</w:t>
      </w:r>
      <w:r>
        <w:rPr>
          <w:lang w:eastAsia="de-DE"/>
        </w:rPr>
        <w:t xml:space="preserve">. </w:t>
      </w:r>
    </w:p>
    <w:p w:rsidR="00CA21C3" w:rsidRDefault="00CA21C3" w:rsidP="00283E96">
      <w:pPr>
        <w:pStyle w:val="Heading2"/>
      </w:pPr>
      <w:r>
        <w:t>Nav</w:t>
      </w:r>
      <w:r w:rsidR="00283E96">
        <w:t>igational</w:t>
      </w:r>
      <w:r>
        <w:t xml:space="preserve"> Warn</w:t>
      </w:r>
      <w:r w:rsidR="00283E96">
        <w:t>ings</w:t>
      </w:r>
    </w:p>
    <w:p w:rsidR="00CA21C3" w:rsidRDefault="00BE37A2" w:rsidP="00CA21C3">
      <w:pPr>
        <w:rPr>
          <w:lang w:eastAsia="de-DE"/>
        </w:rPr>
      </w:pPr>
      <w:r>
        <w:rPr>
          <w:lang w:eastAsia="de-DE"/>
        </w:rPr>
        <w:t xml:space="preserve">Navigational Warnings need to be uniquely referenced, and </w:t>
      </w:r>
      <w:r w:rsidR="00927DA0">
        <w:rPr>
          <w:lang w:eastAsia="de-DE"/>
        </w:rPr>
        <w:t>their</w:t>
      </w:r>
      <w:r>
        <w:rPr>
          <w:lang w:eastAsia="de-DE"/>
        </w:rPr>
        <w:t xml:space="preserve"> lifecycle</w:t>
      </w:r>
      <w:r w:rsidR="00927DA0">
        <w:rPr>
          <w:lang w:eastAsia="de-DE"/>
        </w:rPr>
        <w:t>s</w:t>
      </w:r>
      <w:r>
        <w:rPr>
          <w:lang w:eastAsia="de-DE"/>
        </w:rPr>
        <w:t xml:space="preserve"> managed, in order </w:t>
      </w:r>
      <w:r w:rsidR="00927DA0">
        <w:rPr>
          <w:lang w:eastAsia="de-DE"/>
        </w:rPr>
        <w:t>to</w:t>
      </w:r>
      <w:r>
        <w:rPr>
          <w:lang w:eastAsia="de-DE"/>
        </w:rPr>
        <w:t xml:space="preserve"> determine if information received is a duplication of previous information, or represents a change (update, cancellation). In e-navigation, this unique reference needs to be machine readable.</w:t>
      </w:r>
    </w:p>
    <w:p w:rsidR="00BE37A2" w:rsidRDefault="00BE37A2" w:rsidP="00CA21C3">
      <w:pPr>
        <w:rPr>
          <w:lang w:eastAsia="de-DE"/>
        </w:rPr>
      </w:pPr>
    </w:p>
    <w:p w:rsidR="00BE37A2" w:rsidRDefault="00BE37A2" w:rsidP="00CA21C3">
      <w:pPr>
        <w:rPr>
          <w:lang w:eastAsia="de-DE"/>
        </w:rPr>
      </w:pPr>
      <w:r>
        <w:rPr>
          <w:lang w:eastAsia="de-DE"/>
        </w:rPr>
        <w:t xml:space="preserve">In a dialogue between French and Danish developers of a harmonized MSI promulgation system based on S-124, </w:t>
      </w:r>
      <w:r w:rsidR="00F12CCC">
        <w:rPr>
          <w:lang w:eastAsia="de-DE"/>
        </w:rPr>
        <w:t xml:space="preserve">the idea to utilize the MRN notation allowing a similar delegation of authority to issue MSI identifiers based on </w:t>
      </w:r>
      <w:r w:rsidR="00927DA0">
        <w:rPr>
          <w:lang w:eastAsia="de-DE"/>
        </w:rPr>
        <w:t xml:space="preserve">NAVAREAs </w:t>
      </w:r>
      <w:r w:rsidR="00F12CCC">
        <w:rPr>
          <w:lang w:eastAsia="de-DE"/>
        </w:rPr>
        <w:t xml:space="preserve">or local </w:t>
      </w:r>
      <w:r w:rsidR="00F549AC">
        <w:rPr>
          <w:lang w:eastAsia="de-DE"/>
        </w:rPr>
        <w:t xml:space="preserve">distribution of </w:t>
      </w:r>
      <w:r w:rsidR="00F12CCC">
        <w:rPr>
          <w:lang w:eastAsia="de-DE"/>
        </w:rPr>
        <w:t>responsibilities similar to the example of AtoN numbering ha</w:t>
      </w:r>
      <w:r w:rsidR="00927DA0">
        <w:rPr>
          <w:lang w:eastAsia="de-DE"/>
        </w:rPr>
        <w:t>s</w:t>
      </w:r>
      <w:r w:rsidR="00F12CCC">
        <w:rPr>
          <w:lang w:eastAsia="de-DE"/>
        </w:rPr>
        <w:t xml:space="preserve"> been discussed</w:t>
      </w:r>
      <w:r w:rsidR="00F549AC">
        <w:rPr>
          <w:lang w:eastAsia="de-DE"/>
        </w:rPr>
        <w:t>.</w:t>
      </w:r>
    </w:p>
    <w:p w:rsidR="00F12CCC" w:rsidRDefault="00F12CCC" w:rsidP="00CA21C3">
      <w:pPr>
        <w:rPr>
          <w:lang w:eastAsia="de-DE"/>
        </w:rPr>
      </w:pPr>
    </w:p>
    <w:p w:rsidR="00D1546D" w:rsidRDefault="00D1546D" w:rsidP="00D1546D">
      <w:pPr>
        <w:pStyle w:val="Heading2"/>
      </w:pPr>
      <w:r>
        <w:t>Ships voyages</w:t>
      </w:r>
      <w:r w:rsidR="00F12CCC">
        <w:t xml:space="preserve"> and Port Calls</w:t>
      </w:r>
    </w:p>
    <w:p w:rsidR="00D1546D" w:rsidRDefault="00F12CCC" w:rsidP="00D1546D">
      <w:pPr>
        <w:rPr>
          <w:lang w:eastAsia="de-DE"/>
        </w:rPr>
      </w:pPr>
      <w:r>
        <w:rPr>
          <w:lang w:eastAsia="de-DE"/>
        </w:rPr>
        <w:t xml:space="preserve">Currently, the ‘STM validation project’ in Europe is aiming to validate concepts related to the development of information sharing services, that allow a ship or its operator to share information </w:t>
      </w:r>
      <w:r w:rsidR="00F549AC">
        <w:rPr>
          <w:lang w:eastAsia="de-DE"/>
        </w:rPr>
        <w:t xml:space="preserve">related to </w:t>
      </w:r>
      <w:r>
        <w:rPr>
          <w:lang w:eastAsia="de-DE"/>
        </w:rPr>
        <w:t xml:space="preserve">a </w:t>
      </w:r>
      <w:r w:rsidR="00F549AC">
        <w:rPr>
          <w:lang w:eastAsia="de-DE"/>
        </w:rPr>
        <w:t xml:space="preserve">particular instance of a </w:t>
      </w:r>
      <w:r>
        <w:rPr>
          <w:lang w:eastAsia="de-DE"/>
        </w:rPr>
        <w:t>ship</w:t>
      </w:r>
      <w:r w:rsidR="00927DA0">
        <w:rPr>
          <w:lang w:eastAsia="de-DE"/>
        </w:rPr>
        <w:t>’</w:t>
      </w:r>
      <w:r>
        <w:rPr>
          <w:lang w:eastAsia="de-DE"/>
        </w:rPr>
        <w:t>s voyage with selected collaborating parties (Voyage Management)</w:t>
      </w:r>
      <w:r w:rsidR="00F549AC">
        <w:rPr>
          <w:lang w:eastAsia="de-DE"/>
        </w:rPr>
        <w:t xml:space="preserve">. This may be in relation to </w:t>
      </w:r>
      <w:r>
        <w:rPr>
          <w:lang w:eastAsia="de-DE"/>
        </w:rPr>
        <w:t>passage of VTS areas</w:t>
      </w:r>
      <w:r w:rsidR="00F549AC">
        <w:rPr>
          <w:lang w:eastAsia="de-DE"/>
        </w:rPr>
        <w:t xml:space="preserve">, </w:t>
      </w:r>
      <w:r>
        <w:rPr>
          <w:lang w:eastAsia="de-DE"/>
        </w:rPr>
        <w:t xml:space="preserve">or synchronization of </w:t>
      </w:r>
      <w:r w:rsidR="00927DA0">
        <w:rPr>
          <w:lang w:eastAsia="de-DE"/>
        </w:rPr>
        <w:t>p</w:t>
      </w:r>
      <w:r>
        <w:rPr>
          <w:lang w:eastAsia="de-DE"/>
        </w:rPr>
        <w:t xml:space="preserve">ort </w:t>
      </w:r>
      <w:r w:rsidR="00927DA0">
        <w:rPr>
          <w:lang w:eastAsia="de-DE"/>
        </w:rPr>
        <w:t>c</w:t>
      </w:r>
      <w:r>
        <w:rPr>
          <w:lang w:eastAsia="de-DE"/>
        </w:rPr>
        <w:t xml:space="preserve">all activities, </w:t>
      </w:r>
      <w:r w:rsidR="00927DA0">
        <w:rPr>
          <w:lang w:eastAsia="de-DE"/>
        </w:rPr>
        <w:t>c</w:t>
      </w:r>
      <w:r w:rsidR="00F549AC">
        <w:rPr>
          <w:lang w:eastAsia="de-DE"/>
        </w:rPr>
        <w:t xml:space="preserve">argo carried </w:t>
      </w:r>
      <w:r>
        <w:rPr>
          <w:lang w:eastAsia="de-DE"/>
        </w:rPr>
        <w:t xml:space="preserve">and similarly allowing actors in the </w:t>
      </w:r>
      <w:r w:rsidR="00927DA0">
        <w:rPr>
          <w:lang w:eastAsia="de-DE"/>
        </w:rPr>
        <w:t>p</w:t>
      </w:r>
      <w:r>
        <w:rPr>
          <w:lang w:eastAsia="de-DE"/>
        </w:rPr>
        <w:t xml:space="preserve">ort environment to synchronize their activities (Port Collaborate Decision Making) in relation to </w:t>
      </w:r>
      <w:r w:rsidR="00927DA0">
        <w:rPr>
          <w:lang w:eastAsia="de-DE"/>
        </w:rPr>
        <w:t xml:space="preserve">a </w:t>
      </w:r>
      <w:r>
        <w:rPr>
          <w:lang w:eastAsia="de-DE"/>
        </w:rPr>
        <w:t>ship</w:t>
      </w:r>
      <w:r w:rsidR="00927DA0">
        <w:rPr>
          <w:lang w:eastAsia="de-DE"/>
        </w:rPr>
        <w:t>’</w:t>
      </w:r>
      <w:r>
        <w:rPr>
          <w:lang w:eastAsia="de-DE"/>
        </w:rPr>
        <w:t xml:space="preserve">s </w:t>
      </w:r>
      <w:r w:rsidR="00927DA0">
        <w:rPr>
          <w:lang w:eastAsia="de-DE"/>
        </w:rPr>
        <w:t>arrival</w:t>
      </w:r>
      <w:r>
        <w:rPr>
          <w:lang w:eastAsia="de-DE"/>
        </w:rPr>
        <w:t xml:space="preserve">, various port operations and the departure of </w:t>
      </w:r>
      <w:r w:rsidR="00927DA0">
        <w:rPr>
          <w:lang w:eastAsia="de-DE"/>
        </w:rPr>
        <w:t xml:space="preserve">the </w:t>
      </w:r>
      <w:r>
        <w:rPr>
          <w:lang w:eastAsia="de-DE"/>
        </w:rPr>
        <w:t>ship.</w:t>
      </w:r>
    </w:p>
    <w:p w:rsidR="00F12CCC" w:rsidRDefault="00F12CCC" w:rsidP="00D1546D">
      <w:pPr>
        <w:rPr>
          <w:lang w:eastAsia="de-DE"/>
        </w:rPr>
      </w:pPr>
    </w:p>
    <w:p w:rsidR="00F12CCC" w:rsidRDefault="00F12CCC" w:rsidP="00D1546D">
      <w:pPr>
        <w:rPr>
          <w:lang w:eastAsia="de-DE"/>
        </w:rPr>
      </w:pPr>
      <w:r>
        <w:rPr>
          <w:lang w:eastAsia="de-DE"/>
        </w:rPr>
        <w:t xml:space="preserve">This requires a unique identifier </w:t>
      </w:r>
      <w:r w:rsidR="00F549AC">
        <w:rPr>
          <w:lang w:eastAsia="de-DE"/>
        </w:rPr>
        <w:t xml:space="preserve">(a Universal Voyage ID) </w:t>
      </w:r>
      <w:r>
        <w:rPr>
          <w:lang w:eastAsia="de-DE"/>
        </w:rPr>
        <w:t xml:space="preserve">to reference each </w:t>
      </w:r>
      <w:r w:rsidR="00F549AC">
        <w:rPr>
          <w:lang w:eastAsia="de-DE"/>
        </w:rPr>
        <w:t xml:space="preserve">instance of a </w:t>
      </w:r>
      <w:r>
        <w:rPr>
          <w:lang w:eastAsia="de-DE"/>
        </w:rPr>
        <w:t>ship</w:t>
      </w:r>
      <w:r w:rsidR="00927DA0">
        <w:rPr>
          <w:lang w:eastAsia="de-DE"/>
        </w:rPr>
        <w:t>’</w:t>
      </w:r>
      <w:r>
        <w:rPr>
          <w:lang w:eastAsia="de-DE"/>
        </w:rPr>
        <w:t>s voyage from A to B, and a unique identifier to reference a particular Port Call</w:t>
      </w:r>
      <w:r w:rsidR="00085BFD">
        <w:rPr>
          <w:lang w:eastAsia="de-DE"/>
        </w:rPr>
        <w:t xml:space="preserve"> (Universal Port Call ID)</w:t>
      </w:r>
      <w:r>
        <w:rPr>
          <w:lang w:eastAsia="de-DE"/>
        </w:rPr>
        <w:t xml:space="preserve">, as the series of events and operations that need to take place from </w:t>
      </w:r>
      <w:r w:rsidR="00BF0548">
        <w:rPr>
          <w:lang w:eastAsia="de-DE"/>
        </w:rPr>
        <w:t xml:space="preserve">the time </w:t>
      </w:r>
      <w:r>
        <w:rPr>
          <w:lang w:eastAsia="de-DE"/>
        </w:rPr>
        <w:t>a ship arrives and until it departs on another voyage.</w:t>
      </w:r>
    </w:p>
    <w:p w:rsidR="00F12CCC" w:rsidRDefault="00F12CCC" w:rsidP="00D1546D">
      <w:pPr>
        <w:rPr>
          <w:lang w:eastAsia="de-DE"/>
        </w:rPr>
      </w:pPr>
    </w:p>
    <w:p w:rsidR="00960781" w:rsidRDefault="00960781" w:rsidP="00D1546D">
      <w:pPr>
        <w:rPr>
          <w:lang w:eastAsia="de-DE"/>
        </w:rPr>
      </w:pPr>
      <w:r>
        <w:rPr>
          <w:lang w:eastAsia="de-DE"/>
        </w:rPr>
        <w:t xml:space="preserve">The aims are primarily to increase the efficiency of logistics operations, including the relations to logistic chains beyond the </w:t>
      </w:r>
      <w:r w:rsidR="00BF0548">
        <w:rPr>
          <w:lang w:eastAsia="de-DE"/>
        </w:rPr>
        <w:t>p</w:t>
      </w:r>
      <w:r>
        <w:rPr>
          <w:lang w:eastAsia="de-DE"/>
        </w:rPr>
        <w:t>ort, but also relat</w:t>
      </w:r>
      <w:r w:rsidR="00BF0548">
        <w:rPr>
          <w:lang w:eastAsia="de-DE"/>
        </w:rPr>
        <w:t>tions</w:t>
      </w:r>
      <w:r>
        <w:rPr>
          <w:lang w:eastAsia="de-DE"/>
        </w:rPr>
        <w:t xml:space="preserve"> to safety </w:t>
      </w:r>
      <w:r w:rsidR="00BF0548">
        <w:rPr>
          <w:lang w:eastAsia="de-DE"/>
        </w:rPr>
        <w:t xml:space="preserve">information </w:t>
      </w:r>
      <w:r>
        <w:rPr>
          <w:lang w:eastAsia="de-DE"/>
        </w:rPr>
        <w:t xml:space="preserve">- and to the ability </w:t>
      </w:r>
      <w:r w:rsidR="00BF0548">
        <w:rPr>
          <w:lang w:eastAsia="de-DE"/>
        </w:rPr>
        <w:t xml:space="preserve">to execute </w:t>
      </w:r>
      <w:r>
        <w:rPr>
          <w:lang w:eastAsia="de-DE"/>
        </w:rPr>
        <w:t xml:space="preserve">automated reporting in relation to Ship Reporting Systems or Single Window </w:t>
      </w:r>
      <w:r w:rsidR="00BF0548">
        <w:rPr>
          <w:lang w:eastAsia="de-DE"/>
        </w:rPr>
        <w:t>S</w:t>
      </w:r>
      <w:r>
        <w:rPr>
          <w:lang w:eastAsia="de-DE"/>
        </w:rPr>
        <w:t xml:space="preserve">ystems in relation to Port Calls. </w:t>
      </w:r>
    </w:p>
    <w:p w:rsidR="00960781" w:rsidRDefault="00960781" w:rsidP="00D1546D">
      <w:pPr>
        <w:rPr>
          <w:lang w:eastAsia="de-DE"/>
        </w:rPr>
      </w:pPr>
    </w:p>
    <w:p w:rsidR="00085BFD" w:rsidRDefault="00085BFD" w:rsidP="00D1546D">
      <w:pPr>
        <w:rPr>
          <w:lang w:eastAsia="de-DE"/>
        </w:rPr>
      </w:pPr>
      <w:r>
        <w:rPr>
          <w:lang w:eastAsia="de-DE"/>
        </w:rPr>
        <w:t xml:space="preserve">The STM validation project intends to utilize the MRN notation on an experimental basis, to validate these concepts, and subsequently </w:t>
      </w:r>
      <w:r w:rsidR="00BF0548">
        <w:rPr>
          <w:lang w:eastAsia="de-DE"/>
        </w:rPr>
        <w:t xml:space="preserve">to </w:t>
      </w:r>
      <w:r>
        <w:rPr>
          <w:lang w:eastAsia="de-DE"/>
        </w:rPr>
        <w:t>submit the</w:t>
      </w:r>
      <w:r w:rsidR="00960781">
        <w:rPr>
          <w:lang w:eastAsia="de-DE"/>
        </w:rPr>
        <w:t xml:space="preserve"> results of the </w:t>
      </w:r>
      <w:r>
        <w:rPr>
          <w:lang w:eastAsia="de-DE"/>
        </w:rPr>
        <w:t>validat</w:t>
      </w:r>
      <w:r w:rsidR="00960781">
        <w:rPr>
          <w:lang w:eastAsia="de-DE"/>
        </w:rPr>
        <w:t xml:space="preserve">ion into the </w:t>
      </w:r>
      <w:r>
        <w:rPr>
          <w:lang w:eastAsia="de-DE"/>
        </w:rPr>
        <w:t>standardization</w:t>
      </w:r>
      <w:r w:rsidR="00960781">
        <w:rPr>
          <w:lang w:eastAsia="de-DE"/>
        </w:rPr>
        <w:t xml:space="preserve"> process</w:t>
      </w:r>
      <w:r>
        <w:rPr>
          <w:lang w:eastAsia="de-DE"/>
        </w:rPr>
        <w:t xml:space="preserve">. Utilizing the MRN notation will make the approaches to issuing identifiers </w:t>
      </w:r>
      <w:r w:rsidR="00960781">
        <w:rPr>
          <w:lang w:eastAsia="de-DE"/>
        </w:rPr>
        <w:t xml:space="preserve">quite similar to </w:t>
      </w:r>
      <w:r>
        <w:rPr>
          <w:lang w:eastAsia="de-DE"/>
        </w:rPr>
        <w:t>the standards developed by Global Standards One</w:t>
      </w:r>
      <w:r w:rsidR="00BF0548">
        <w:rPr>
          <w:lang w:eastAsia="de-DE"/>
        </w:rPr>
        <w:t xml:space="preserve"> (GS1</w:t>
      </w:r>
      <w:r>
        <w:rPr>
          <w:lang w:eastAsia="de-DE"/>
        </w:rPr>
        <w:t>), the organization that is managing the standards for logistic operations in other industries (including the standards for barcodes, etc.)</w:t>
      </w:r>
    </w:p>
    <w:p w:rsidR="00085BFD" w:rsidRDefault="00085BFD" w:rsidP="00CA21C3">
      <w:pPr>
        <w:rPr>
          <w:lang w:eastAsia="de-DE"/>
        </w:rPr>
      </w:pPr>
    </w:p>
    <w:p w:rsidR="00085BFD" w:rsidRDefault="00085BFD" w:rsidP="00CA21C3">
      <w:pPr>
        <w:rPr>
          <w:lang w:eastAsia="de-DE"/>
        </w:rPr>
      </w:pPr>
      <w:r>
        <w:rPr>
          <w:lang w:eastAsia="de-DE"/>
        </w:rPr>
        <w:t>Detailed examples of the draft definitions of Voyage and Port Call identifiers, including management of their lifecycle</w:t>
      </w:r>
      <w:r w:rsidR="00BF0548">
        <w:rPr>
          <w:lang w:eastAsia="de-DE"/>
        </w:rPr>
        <w:t>s</w:t>
      </w:r>
      <w:r>
        <w:rPr>
          <w:lang w:eastAsia="de-DE"/>
        </w:rPr>
        <w:t xml:space="preserve"> (version history) are provided in appendix. </w:t>
      </w:r>
    </w:p>
    <w:p w:rsidR="00D76CC9" w:rsidRDefault="00D76CC9" w:rsidP="00CA21C3">
      <w:pPr>
        <w:rPr>
          <w:lang w:eastAsia="de-DE"/>
        </w:rPr>
      </w:pPr>
    </w:p>
    <w:p w:rsidR="00CA21C3" w:rsidRDefault="00CA21C3" w:rsidP="00D1546D">
      <w:pPr>
        <w:pStyle w:val="Heading2"/>
      </w:pPr>
      <w:r>
        <w:t>Identity management</w:t>
      </w:r>
      <w:r w:rsidR="00D1546D">
        <w:t xml:space="preserve"> of ‘Actors’ in e-navigation</w:t>
      </w:r>
    </w:p>
    <w:p w:rsidR="00085BFD" w:rsidRDefault="00D76CC9" w:rsidP="00085BFD">
      <w:pPr>
        <w:rPr>
          <w:lang w:eastAsia="de-DE"/>
        </w:rPr>
      </w:pPr>
      <w:r>
        <w:rPr>
          <w:lang w:eastAsia="de-DE"/>
        </w:rPr>
        <w:t xml:space="preserve">In the current development of the ‘Maritime Cloud’ concept, the management of identities of </w:t>
      </w:r>
      <w:r w:rsidR="00BF0548">
        <w:rPr>
          <w:lang w:eastAsia="de-DE"/>
        </w:rPr>
        <w:t>a</w:t>
      </w:r>
      <w:r>
        <w:rPr>
          <w:lang w:eastAsia="de-DE"/>
        </w:rPr>
        <w:t xml:space="preserve">ctors is an important factor. Actors may be </w:t>
      </w:r>
      <w:r w:rsidR="00BF0548">
        <w:rPr>
          <w:lang w:eastAsia="de-DE"/>
        </w:rPr>
        <w:t>o</w:t>
      </w:r>
      <w:r>
        <w:rPr>
          <w:lang w:eastAsia="de-DE"/>
        </w:rPr>
        <w:t xml:space="preserve">rganizations, </w:t>
      </w:r>
      <w:r w:rsidR="00BF0548">
        <w:rPr>
          <w:lang w:eastAsia="de-DE"/>
        </w:rPr>
        <w:t>u</w:t>
      </w:r>
      <w:r>
        <w:rPr>
          <w:lang w:eastAsia="de-DE"/>
        </w:rPr>
        <w:t xml:space="preserve">sers (employees, individual mariners or VTS operators), </w:t>
      </w:r>
      <w:r w:rsidR="00BF0548">
        <w:rPr>
          <w:lang w:eastAsia="de-DE"/>
        </w:rPr>
        <w:t>s</w:t>
      </w:r>
      <w:r>
        <w:rPr>
          <w:lang w:eastAsia="de-DE"/>
        </w:rPr>
        <w:t xml:space="preserve">hips or </w:t>
      </w:r>
      <w:r w:rsidR="00BF0548">
        <w:rPr>
          <w:lang w:eastAsia="de-DE"/>
        </w:rPr>
        <w:t>s</w:t>
      </w:r>
      <w:r>
        <w:rPr>
          <w:lang w:eastAsia="de-DE"/>
        </w:rPr>
        <w:t>ystems that expose an instance of a technical service.</w:t>
      </w:r>
      <w:r w:rsidR="006B7174">
        <w:rPr>
          <w:lang w:eastAsia="de-DE"/>
        </w:rPr>
        <w:t xml:space="preserve"> </w:t>
      </w:r>
    </w:p>
    <w:p w:rsidR="00D76CC9" w:rsidRDefault="00D76CC9" w:rsidP="00085BFD">
      <w:pPr>
        <w:rPr>
          <w:lang w:eastAsia="de-DE"/>
        </w:rPr>
      </w:pPr>
    </w:p>
    <w:p w:rsidR="00D76CC9" w:rsidRDefault="00D76CC9" w:rsidP="00085BFD">
      <w:pPr>
        <w:rPr>
          <w:lang w:eastAsia="de-DE"/>
        </w:rPr>
      </w:pPr>
      <w:r>
        <w:rPr>
          <w:lang w:eastAsia="de-DE"/>
        </w:rPr>
        <w:t xml:space="preserve">Whenever </w:t>
      </w:r>
      <w:r w:rsidR="00BF0548">
        <w:rPr>
          <w:lang w:eastAsia="de-DE"/>
        </w:rPr>
        <w:t>a</w:t>
      </w:r>
      <w:r>
        <w:rPr>
          <w:lang w:eastAsia="de-DE"/>
        </w:rPr>
        <w:t xml:space="preserve">ctors need to interact with a </w:t>
      </w:r>
      <w:r w:rsidR="00BF0548">
        <w:rPr>
          <w:lang w:eastAsia="de-DE"/>
        </w:rPr>
        <w:t>s</w:t>
      </w:r>
      <w:r>
        <w:rPr>
          <w:lang w:eastAsia="de-DE"/>
        </w:rPr>
        <w:t xml:space="preserve">ervice, </w:t>
      </w:r>
      <w:r w:rsidR="00E0006F">
        <w:rPr>
          <w:lang w:eastAsia="de-DE"/>
        </w:rPr>
        <w:t xml:space="preserve">unique identification and </w:t>
      </w:r>
      <w:r>
        <w:rPr>
          <w:lang w:eastAsia="de-DE"/>
        </w:rPr>
        <w:t xml:space="preserve">the </w:t>
      </w:r>
      <w:r w:rsidR="00E0006F">
        <w:rPr>
          <w:lang w:eastAsia="de-DE"/>
        </w:rPr>
        <w:t xml:space="preserve">process of </w:t>
      </w:r>
      <w:r w:rsidR="00BF0548">
        <w:rPr>
          <w:lang w:eastAsia="de-DE"/>
        </w:rPr>
        <w:t>a</w:t>
      </w:r>
      <w:r>
        <w:rPr>
          <w:lang w:eastAsia="de-DE"/>
        </w:rPr>
        <w:t xml:space="preserve">uthentication of the </w:t>
      </w:r>
      <w:r w:rsidR="00BF0548">
        <w:rPr>
          <w:lang w:eastAsia="de-DE"/>
        </w:rPr>
        <w:t>a</w:t>
      </w:r>
      <w:r>
        <w:rPr>
          <w:lang w:eastAsia="de-DE"/>
        </w:rPr>
        <w:t xml:space="preserve">ctor requesting access </w:t>
      </w:r>
      <w:r w:rsidR="00E0006F">
        <w:rPr>
          <w:lang w:eastAsia="de-DE"/>
        </w:rPr>
        <w:t xml:space="preserve">is </w:t>
      </w:r>
      <w:r>
        <w:rPr>
          <w:lang w:eastAsia="de-DE"/>
        </w:rPr>
        <w:t>important.</w:t>
      </w:r>
    </w:p>
    <w:p w:rsidR="00D76CC9" w:rsidRDefault="00D76CC9" w:rsidP="00085BFD">
      <w:pPr>
        <w:rPr>
          <w:lang w:eastAsia="de-DE"/>
        </w:rPr>
      </w:pPr>
    </w:p>
    <w:p w:rsidR="00D76CC9" w:rsidRDefault="00D76CC9" w:rsidP="00085BFD">
      <w:pPr>
        <w:rPr>
          <w:lang w:eastAsia="de-DE"/>
        </w:rPr>
      </w:pPr>
      <w:r>
        <w:rPr>
          <w:lang w:eastAsia="de-DE"/>
        </w:rPr>
        <w:t xml:space="preserve">The MRN notation </w:t>
      </w:r>
      <w:r w:rsidR="009B2EFE">
        <w:rPr>
          <w:lang w:eastAsia="de-DE"/>
        </w:rPr>
        <w:t xml:space="preserve">could </w:t>
      </w:r>
      <w:r>
        <w:rPr>
          <w:lang w:eastAsia="de-DE"/>
        </w:rPr>
        <w:t xml:space="preserve">be useful to support the delegation of authority to issue identifiers </w:t>
      </w:r>
      <w:r w:rsidR="00960781">
        <w:rPr>
          <w:lang w:eastAsia="de-DE"/>
        </w:rPr>
        <w:t xml:space="preserve">using a uniform syntax, while </w:t>
      </w:r>
      <w:r>
        <w:rPr>
          <w:lang w:eastAsia="de-DE"/>
        </w:rPr>
        <w:t>manag</w:t>
      </w:r>
      <w:r w:rsidR="00960781">
        <w:rPr>
          <w:lang w:eastAsia="de-DE"/>
        </w:rPr>
        <w:t>ing</w:t>
      </w:r>
      <w:r>
        <w:rPr>
          <w:lang w:eastAsia="de-DE"/>
        </w:rPr>
        <w:t xml:space="preserve"> users within the hierarchies of various organizations. </w:t>
      </w:r>
    </w:p>
    <w:p w:rsidR="00D76CC9" w:rsidRDefault="00D76CC9" w:rsidP="00085BFD">
      <w:pPr>
        <w:rPr>
          <w:lang w:eastAsia="de-DE"/>
        </w:rPr>
      </w:pPr>
    </w:p>
    <w:p w:rsidR="002572B9" w:rsidRDefault="009B2EFE" w:rsidP="002572B9">
      <w:pPr>
        <w:rPr>
          <w:lang w:eastAsia="de-DE"/>
        </w:rPr>
      </w:pPr>
      <w:r>
        <w:rPr>
          <w:lang w:eastAsia="de-DE"/>
        </w:rPr>
        <w:t xml:space="preserve">A </w:t>
      </w:r>
      <w:r w:rsidR="00BF0548">
        <w:rPr>
          <w:lang w:eastAsia="de-DE"/>
        </w:rPr>
        <w:t>u</w:t>
      </w:r>
      <w:r>
        <w:rPr>
          <w:lang w:eastAsia="de-DE"/>
        </w:rPr>
        <w:t>ser belonging to the shipping company Maersk Line, who provides their own user management system for authentication:  “</w:t>
      </w:r>
      <w:r w:rsidRPr="009B2EFE">
        <w:rPr>
          <w:b/>
          <w:lang w:eastAsia="de-DE"/>
        </w:rPr>
        <w:t>urn:mrn:maerskline:user:u43662</w:t>
      </w:r>
      <w:r>
        <w:rPr>
          <w:lang w:eastAsia="de-DE"/>
        </w:rPr>
        <w:t>”</w:t>
      </w:r>
    </w:p>
    <w:p w:rsidR="009B2EFE" w:rsidRDefault="009B2EFE" w:rsidP="002572B9">
      <w:pPr>
        <w:rPr>
          <w:lang w:eastAsia="de-DE"/>
        </w:rPr>
      </w:pPr>
    </w:p>
    <w:p w:rsidR="009B2EFE" w:rsidRDefault="009B2EFE" w:rsidP="002572B9">
      <w:pPr>
        <w:rPr>
          <w:lang w:eastAsia="de-DE"/>
        </w:rPr>
      </w:pPr>
      <w:r>
        <w:rPr>
          <w:lang w:eastAsia="de-DE"/>
        </w:rPr>
        <w:t>A SOLAS vessel registered with an IMO number: “</w:t>
      </w:r>
      <w:r w:rsidRPr="009B2EFE">
        <w:rPr>
          <w:b/>
          <w:lang w:eastAsia="de-DE"/>
        </w:rPr>
        <w:t>urn:mrn:imo:imonumber:546789</w:t>
      </w:r>
      <w:r>
        <w:rPr>
          <w:lang w:eastAsia="de-DE"/>
        </w:rPr>
        <w:t>”</w:t>
      </w:r>
    </w:p>
    <w:p w:rsidR="009B2EFE" w:rsidRDefault="009B2EFE" w:rsidP="009B2EFE">
      <w:pPr>
        <w:rPr>
          <w:lang w:eastAsia="de-DE"/>
        </w:rPr>
      </w:pPr>
    </w:p>
    <w:p w:rsidR="009B2EFE" w:rsidRDefault="009B2EFE" w:rsidP="009B2EFE">
      <w:pPr>
        <w:rPr>
          <w:lang w:eastAsia="de-DE"/>
        </w:rPr>
      </w:pPr>
      <w:r>
        <w:rPr>
          <w:lang w:eastAsia="de-DE"/>
        </w:rPr>
        <w:t>A</w:t>
      </w:r>
      <w:r w:rsidR="00E0006F">
        <w:rPr>
          <w:lang w:eastAsia="de-DE"/>
        </w:rPr>
        <w:t xml:space="preserve"> VTS operator at a </w:t>
      </w:r>
      <w:r>
        <w:rPr>
          <w:lang w:eastAsia="de-DE"/>
        </w:rPr>
        <w:t>D</w:t>
      </w:r>
      <w:r w:rsidR="00E0006F">
        <w:rPr>
          <w:lang w:eastAsia="de-DE"/>
        </w:rPr>
        <w:t>anish VTS center</w:t>
      </w:r>
      <w:r>
        <w:rPr>
          <w:lang w:eastAsia="de-DE"/>
        </w:rPr>
        <w:t>: “</w:t>
      </w:r>
      <w:r w:rsidRPr="009B2EFE">
        <w:rPr>
          <w:b/>
          <w:lang w:eastAsia="de-DE"/>
        </w:rPr>
        <w:t>urn:mrn:</w:t>
      </w:r>
      <w:r w:rsidR="00E0006F">
        <w:rPr>
          <w:b/>
          <w:lang w:eastAsia="de-DE"/>
        </w:rPr>
        <w:t>iala</w:t>
      </w:r>
      <w:r w:rsidRPr="009B2EFE">
        <w:rPr>
          <w:b/>
          <w:lang w:eastAsia="de-DE"/>
        </w:rPr>
        <w:t>:</w:t>
      </w:r>
      <w:r w:rsidR="00E0006F">
        <w:rPr>
          <w:b/>
          <w:lang w:eastAsia="de-DE"/>
        </w:rPr>
        <w:t>vts:vtsoperator:dk:greatbelt:b002190</w:t>
      </w:r>
      <w:r>
        <w:rPr>
          <w:lang w:eastAsia="de-DE"/>
        </w:rPr>
        <w:t>”</w:t>
      </w:r>
    </w:p>
    <w:p w:rsidR="00861511" w:rsidRDefault="00982F25" w:rsidP="00982F25">
      <w:pPr>
        <w:pStyle w:val="Heading2"/>
      </w:pPr>
      <w:r>
        <w:t>Support for lifecycle management of identifiable objects</w:t>
      </w:r>
    </w:p>
    <w:p w:rsidR="005D05AC" w:rsidRDefault="00344736" w:rsidP="00344736">
      <w:pPr>
        <w:pStyle w:val="Bullet1"/>
        <w:numPr>
          <w:ilvl w:val="0"/>
          <w:numId w:val="0"/>
        </w:numPr>
      </w:pPr>
      <w:r>
        <w:t xml:space="preserve">Many objects that require unique identification may also require support for life cycle management. Examples above include the Voyage and Port Call IDs, that represent information objects which will change over time, but still require a common unique reference. </w:t>
      </w:r>
    </w:p>
    <w:p w:rsidR="00344736" w:rsidRDefault="00344736" w:rsidP="00344736">
      <w:pPr>
        <w:pStyle w:val="Bullet1"/>
        <w:numPr>
          <w:ilvl w:val="0"/>
          <w:numId w:val="0"/>
        </w:numPr>
      </w:pPr>
      <w:r>
        <w:t>Example</w:t>
      </w:r>
      <w:r w:rsidR="00341E60">
        <w:t xml:space="preserve"> (see more details in appendix)</w:t>
      </w:r>
      <w:r>
        <w:t>:</w:t>
      </w:r>
    </w:p>
    <w:p w:rsidR="000E1EC4" w:rsidRDefault="000E1EC4" w:rsidP="00344736">
      <w:pPr>
        <w:pStyle w:val="Bullet1"/>
        <w:numPr>
          <w:ilvl w:val="0"/>
          <w:numId w:val="0"/>
        </w:numPr>
      </w:pPr>
      <w:r>
        <w:t xml:space="preserve">Voyage number </w:t>
      </w:r>
      <w:r w:rsidRPr="006F29B1">
        <w:rPr>
          <w:b/>
        </w:rPr>
        <w:t>134</w:t>
      </w:r>
      <w:r>
        <w:t xml:space="preserve">, for which information is </w:t>
      </w:r>
      <w:r w:rsidR="00960781">
        <w:t xml:space="preserve">available </w:t>
      </w:r>
      <w:r>
        <w:t xml:space="preserve">at the Voyage Information Service provided by the service provider </w:t>
      </w:r>
      <w:r w:rsidRPr="006F29B1">
        <w:rPr>
          <w:b/>
        </w:rPr>
        <w:t>stm-a</w:t>
      </w:r>
      <w:r>
        <w:t xml:space="preserve"> may be </w:t>
      </w:r>
      <w:r w:rsidR="006F29B1">
        <w:t xml:space="preserve">identified </w:t>
      </w:r>
      <w:r>
        <w:t xml:space="preserve">by </w:t>
      </w:r>
      <w:r w:rsidR="006F29B1">
        <w:t xml:space="preserve">the Universal Voyage ID (UVID) </w:t>
      </w:r>
      <w:r>
        <w:t>“</w:t>
      </w:r>
      <w:r w:rsidRPr="006F29B1">
        <w:rPr>
          <w:b/>
        </w:rPr>
        <w:t>urn:mrn:stm:uvid:stm-a:134</w:t>
      </w:r>
      <w:r>
        <w:t>”</w:t>
      </w:r>
      <w:r w:rsidR="00960781">
        <w:t xml:space="preserve">. </w:t>
      </w:r>
      <w:r w:rsidR="0014648E">
        <w:t xml:space="preserve"> </w:t>
      </w:r>
      <w:r w:rsidR="00960781">
        <w:t>The information about the voyage – including the identity of the ship – is only accessible by authorized parties.</w:t>
      </w:r>
    </w:p>
    <w:p w:rsidR="00960781" w:rsidRDefault="006F29B1" w:rsidP="0014648E">
      <w:pPr>
        <w:pStyle w:val="Bullet1"/>
        <w:numPr>
          <w:ilvl w:val="0"/>
          <w:numId w:val="0"/>
        </w:numPr>
      </w:pPr>
      <w:r>
        <w:t>If details of this voyage plan are change</w:t>
      </w:r>
      <w:r w:rsidR="00960781">
        <w:t>d</w:t>
      </w:r>
      <w:r>
        <w:t xml:space="preserve"> by </w:t>
      </w:r>
      <w:r w:rsidR="00927DA0">
        <w:t>its</w:t>
      </w:r>
      <w:r>
        <w:t xml:space="preserve"> owner </w:t>
      </w:r>
      <w:r w:rsidR="0014648E">
        <w:t xml:space="preserve">or </w:t>
      </w:r>
      <w:r>
        <w:t xml:space="preserve">proposals for changes submitted by others, </w:t>
      </w:r>
      <w:r w:rsidR="00927DA0">
        <w:t>its</w:t>
      </w:r>
      <w:r>
        <w:t xml:space="preserve"> version will be updated</w:t>
      </w:r>
      <w:r w:rsidR="0014648E">
        <w:t xml:space="preserve">, and a </w:t>
      </w:r>
      <w:r>
        <w:t>version number</w:t>
      </w:r>
      <w:r w:rsidR="0014648E">
        <w:t xml:space="preserve"> can be appended</w:t>
      </w:r>
      <w:r w:rsidR="00960781">
        <w:t xml:space="preserve">: </w:t>
      </w:r>
    </w:p>
    <w:p w:rsidR="0014648E" w:rsidRDefault="0014648E" w:rsidP="0014648E">
      <w:pPr>
        <w:pStyle w:val="Bullet1"/>
        <w:numPr>
          <w:ilvl w:val="0"/>
          <w:numId w:val="0"/>
        </w:numPr>
      </w:pPr>
      <w:r>
        <w:t>Version 2.1: “</w:t>
      </w:r>
      <w:r w:rsidRPr="006F29B1">
        <w:rPr>
          <w:b/>
        </w:rPr>
        <w:t>urn:mrn:stm:uvid:stm-a:134</w:t>
      </w:r>
      <w:r>
        <w:rPr>
          <w:b/>
        </w:rPr>
        <w:t>:2.1</w:t>
      </w:r>
      <w:r>
        <w:t>”</w:t>
      </w:r>
    </w:p>
    <w:p w:rsidR="0014648E" w:rsidRDefault="0014648E" w:rsidP="0014648E">
      <w:pPr>
        <w:pStyle w:val="Bullet1"/>
        <w:numPr>
          <w:ilvl w:val="0"/>
          <w:numId w:val="0"/>
        </w:numPr>
      </w:pPr>
      <w:r>
        <w:t>In this scenario, “</w:t>
      </w:r>
      <w:r w:rsidRPr="006F29B1">
        <w:rPr>
          <w:b/>
        </w:rPr>
        <w:t>urn:mrn:stm:uvid:stm-a:134</w:t>
      </w:r>
      <w:r w:rsidRPr="0014648E">
        <w:t>”</w:t>
      </w:r>
      <w:r>
        <w:t xml:space="preserve"> will reference the currently monitored route</w:t>
      </w:r>
      <w:r w:rsidR="00960781">
        <w:t xml:space="preserve"> (version</w:t>
      </w:r>
      <w:r w:rsidR="00773775">
        <w:t xml:space="preserve"> 2</w:t>
      </w:r>
      <w:r>
        <w:t>) of the voyage plan committed by the owner, but “</w:t>
      </w:r>
      <w:r w:rsidRPr="006F29B1">
        <w:rPr>
          <w:b/>
        </w:rPr>
        <w:t>urn:mrn:stm:uvid:stm-a:134</w:t>
      </w:r>
      <w:r>
        <w:rPr>
          <w:b/>
        </w:rPr>
        <w:t>:2.1</w:t>
      </w:r>
      <w:r>
        <w:t>” may provide a unique reference to the firs</w:t>
      </w:r>
      <w:r w:rsidR="00773775">
        <w:t>t proposed change to version 2</w:t>
      </w:r>
      <w:r>
        <w:t xml:space="preserve"> of the voyage plan.</w:t>
      </w:r>
    </w:p>
    <w:p w:rsidR="005971E0" w:rsidRDefault="005971E0" w:rsidP="002B0236">
      <w:pPr>
        <w:pStyle w:val="Heading1"/>
      </w:pPr>
      <w:r>
        <w:t>Steps ahead</w:t>
      </w:r>
    </w:p>
    <w:p w:rsidR="001E2E39" w:rsidRDefault="007C0E97" w:rsidP="001E2E39">
      <w:pPr>
        <w:rPr>
          <w:lang w:eastAsia="de-DE"/>
        </w:rPr>
      </w:pPr>
      <w:r>
        <w:rPr>
          <w:lang w:eastAsia="de-DE"/>
        </w:rPr>
        <w:t xml:space="preserve">The </w:t>
      </w:r>
      <w:r w:rsidR="001E2E39">
        <w:rPr>
          <w:lang w:eastAsia="de-DE"/>
        </w:rPr>
        <w:t>establishment of the MRN namespace based on the Uniform Resource Name, assumes that t</w:t>
      </w:r>
      <w:r w:rsidR="00C217D1">
        <w:rPr>
          <w:lang w:eastAsia="de-DE"/>
        </w:rPr>
        <w:t xml:space="preserve">his namespace </w:t>
      </w:r>
      <w:r w:rsidR="001E2E39">
        <w:rPr>
          <w:lang w:eastAsia="de-DE"/>
        </w:rPr>
        <w:t xml:space="preserve">will be registered </w:t>
      </w:r>
      <w:r w:rsidR="00C217D1">
        <w:rPr>
          <w:lang w:eastAsia="de-DE"/>
        </w:rPr>
        <w:t xml:space="preserve">with the </w:t>
      </w:r>
      <w:hyperlink r:id="rId8" w:history="1">
        <w:r w:rsidR="00960781" w:rsidRPr="00423F7B">
          <w:rPr>
            <w:rStyle w:val="Hyperlink"/>
          </w:rPr>
          <w:t>Internet Assigned Numbers Authority (IAN</w:t>
        </w:r>
        <w:r w:rsidR="007670B5">
          <w:rPr>
            <w:rStyle w:val="Hyperlink"/>
          </w:rPr>
          <w:t>A)</w:t>
        </w:r>
      </w:hyperlink>
      <w:r w:rsidR="001E2E39">
        <w:rPr>
          <w:lang w:eastAsia="de-DE"/>
        </w:rPr>
        <w:t>.</w:t>
      </w:r>
    </w:p>
    <w:p w:rsidR="001E2E39" w:rsidRDefault="001E2E39" w:rsidP="001E2E39">
      <w:pPr>
        <w:rPr>
          <w:lang w:eastAsia="de-DE"/>
        </w:rPr>
      </w:pPr>
    </w:p>
    <w:p w:rsidR="00C217D1" w:rsidRDefault="001E2E39" w:rsidP="001E2E39">
      <w:pPr>
        <w:rPr>
          <w:lang w:eastAsia="de-DE"/>
        </w:rPr>
      </w:pPr>
      <w:r>
        <w:rPr>
          <w:lang w:eastAsia="de-DE"/>
        </w:rPr>
        <w:t>The process for achieving this is by submission of an RFC (Re</w:t>
      </w:r>
      <w:r w:rsidR="00423F7B">
        <w:rPr>
          <w:lang w:eastAsia="de-DE"/>
        </w:rPr>
        <w:t>q</w:t>
      </w:r>
      <w:r>
        <w:rPr>
          <w:lang w:eastAsia="de-DE"/>
        </w:rPr>
        <w:t xml:space="preserve">uest for Comments) to </w:t>
      </w:r>
      <w:r w:rsidR="00423F7B">
        <w:rPr>
          <w:lang w:eastAsia="de-DE"/>
        </w:rPr>
        <w:t>(</w:t>
      </w:r>
      <w:r>
        <w:rPr>
          <w:lang w:eastAsia="de-DE"/>
        </w:rPr>
        <w:t>and negotiation of the contents with</w:t>
      </w:r>
      <w:r w:rsidR="00423F7B">
        <w:rPr>
          <w:lang w:eastAsia="de-DE"/>
        </w:rPr>
        <w:t>)</w:t>
      </w:r>
      <w:r>
        <w:rPr>
          <w:lang w:eastAsia="de-DE"/>
        </w:rPr>
        <w:t xml:space="preserve"> the Internet Engineering Task Force (IETF) for their publication</w:t>
      </w:r>
      <w:r w:rsidR="00C217D1">
        <w:rPr>
          <w:lang w:eastAsia="de-DE"/>
        </w:rPr>
        <w:t>.</w:t>
      </w:r>
      <w:r>
        <w:rPr>
          <w:lang w:eastAsia="de-DE"/>
        </w:rPr>
        <w:t xml:space="preserve"> The Danish Maritime Authority offers to assist IALA in progressing this task, if IALA Council approves this process with the intention to finally publish the draft Guideline on Unique Identifiers for Maritime Resources.</w:t>
      </w:r>
    </w:p>
    <w:p w:rsidR="001E2E39" w:rsidRDefault="001E2E39" w:rsidP="001E2E39">
      <w:pPr>
        <w:rPr>
          <w:lang w:eastAsia="de-DE"/>
        </w:rPr>
      </w:pPr>
    </w:p>
    <w:p w:rsidR="001E2E39" w:rsidRDefault="001E2E39" w:rsidP="001E2E39">
      <w:pPr>
        <w:rPr>
          <w:lang w:eastAsia="de-DE"/>
        </w:rPr>
      </w:pPr>
      <w:r>
        <w:rPr>
          <w:lang w:eastAsia="de-DE"/>
        </w:rPr>
        <w:t xml:space="preserve">Assuming that the RFC is published and the guideline </w:t>
      </w:r>
      <w:r w:rsidR="00773775">
        <w:rPr>
          <w:lang w:eastAsia="de-DE"/>
        </w:rPr>
        <w:t xml:space="preserve">finalized and </w:t>
      </w:r>
      <w:r>
        <w:rPr>
          <w:lang w:eastAsia="de-DE"/>
        </w:rPr>
        <w:t>approved, the following sections elaborate on the future consequences for IALA.</w:t>
      </w:r>
    </w:p>
    <w:p w:rsidR="005971E0" w:rsidRDefault="005971E0" w:rsidP="001E2E39">
      <w:pPr>
        <w:pStyle w:val="Heading2"/>
      </w:pPr>
      <w:r>
        <w:t>Burden and responsibility of IALA</w:t>
      </w:r>
    </w:p>
    <w:p w:rsidR="005971E0" w:rsidRDefault="001E2E39" w:rsidP="005971E0">
      <w:pPr>
        <w:rPr>
          <w:lang w:eastAsia="de-DE"/>
        </w:rPr>
      </w:pPr>
      <w:r>
        <w:rPr>
          <w:lang w:eastAsia="de-DE"/>
        </w:rPr>
        <w:t xml:space="preserve">The future responsibility of IALA will </w:t>
      </w:r>
      <w:r w:rsidR="00BF21B2">
        <w:rPr>
          <w:lang w:eastAsia="de-DE"/>
        </w:rPr>
        <w:t xml:space="preserve">solely </w:t>
      </w:r>
      <w:r>
        <w:rPr>
          <w:lang w:eastAsia="de-DE"/>
        </w:rPr>
        <w:t>be to maintain and publish the Guideline on Unique Identifiers for Maritime Resources.</w:t>
      </w:r>
    </w:p>
    <w:p w:rsidR="00BF21B2" w:rsidRDefault="00BF21B2" w:rsidP="005971E0">
      <w:pPr>
        <w:rPr>
          <w:lang w:eastAsia="de-DE"/>
        </w:rPr>
      </w:pPr>
    </w:p>
    <w:p w:rsidR="001E2E39" w:rsidRDefault="001E2E39" w:rsidP="005971E0">
      <w:pPr>
        <w:rPr>
          <w:lang w:eastAsia="de-DE"/>
        </w:rPr>
      </w:pPr>
      <w:r>
        <w:rPr>
          <w:lang w:eastAsia="de-DE"/>
        </w:rPr>
        <w:t xml:space="preserve">As this guideline </w:t>
      </w:r>
      <w:r w:rsidR="00BF21B2">
        <w:rPr>
          <w:lang w:eastAsia="de-DE"/>
        </w:rPr>
        <w:t xml:space="preserve">not only </w:t>
      </w:r>
      <w:r>
        <w:rPr>
          <w:lang w:eastAsia="de-DE"/>
        </w:rPr>
        <w:t xml:space="preserve">is the document which contains the </w:t>
      </w:r>
      <w:r w:rsidR="00BF21B2">
        <w:rPr>
          <w:lang w:eastAsia="de-DE"/>
        </w:rPr>
        <w:t xml:space="preserve">IALA definitions of unique identifiers, but also the list of organizations that have chosen to register their organizational abbreviation to utilize the MRN namespace, the guideline may initially need regular updates, to keep the list of registered ‘governing organizations’ in Annex A </w:t>
      </w:r>
      <w:r w:rsidR="007821E7">
        <w:rPr>
          <w:lang w:eastAsia="de-DE"/>
        </w:rPr>
        <w:t xml:space="preserve">of the guideline </w:t>
      </w:r>
      <w:r w:rsidR="00BF21B2">
        <w:rPr>
          <w:lang w:eastAsia="de-DE"/>
        </w:rPr>
        <w:t>up to date.</w:t>
      </w:r>
    </w:p>
    <w:p w:rsidR="00BF21B2" w:rsidRDefault="00BF21B2" w:rsidP="005971E0">
      <w:pPr>
        <w:rPr>
          <w:lang w:eastAsia="de-DE"/>
        </w:rPr>
      </w:pPr>
    </w:p>
    <w:p w:rsidR="00BF21B2" w:rsidRDefault="00BF21B2" w:rsidP="005971E0">
      <w:pPr>
        <w:rPr>
          <w:lang w:eastAsia="de-DE"/>
        </w:rPr>
      </w:pPr>
      <w:r>
        <w:rPr>
          <w:lang w:eastAsia="de-DE"/>
        </w:rPr>
        <w:t>However</w:t>
      </w:r>
      <w:r w:rsidR="007821E7">
        <w:rPr>
          <w:lang w:eastAsia="de-DE"/>
        </w:rPr>
        <w:t>,</w:t>
      </w:r>
      <w:r>
        <w:rPr>
          <w:lang w:eastAsia="de-DE"/>
        </w:rPr>
        <w:t xml:space="preserve"> IALA does not assume responsibility for any maintenance on behalf of other ‘governing organizations’ who register to utilize the MRN namespace.</w:t>
      </w:r>
    </w:p>
    <w:p w:rsidR="00BF21B2" w:rsidRDefault="00BF21B2" w:rsidP="005971E0">
      <w:pPr>
        <w:rPr>
          <w:lang w:eastAsia="de-DE"/>
        </w:rPr>
      </w:pPr>
    </w:p>
    <w:p w:rsidR="005971E0" w:rsidRDefault="005971E0" w:rsidP="00BF21B2">
      <w:pPr>
        <w:pStyle w:val="Heading2"/>
      </w:pPr>
      <w:r>
        <w:t xml:space="preserve">Burden on </w:t>
      </w:r>
      <w:r w:rsidR="00BF21B2">
        <w:t xml:space="preserve">organizations </w:t>
      </w:r>
      <w:r>
        <w:t>applying the MRN</w:t>
      </w:r>
    </w:p>
    <w:p w:rsidR="00775B3C" w:rsidRDefault="00E3024E" w:rsidP="005971E0">
      <w:pPr>
        <w:rPr>
          <w:lang w:eastAsia="de-DE"/>
        </w:rPr>
      </w:pPr>
      <w:r>
        <w:rPr>
          <w:lang w:eastAsia="de-DE"/>
        </w:rPr>
        <w:t xml:space="preserve">Any organization who would choose to apply the MRN notation, would only need to request IALA to be registered </w:t>
      </w:r>
      <w:r w:rsidR="00887D8B">
        <w:rPr>
          <w:lang w:eastAsia="de-DE"/>
        </w:rPr>
        <w:t>as a ‘governing organization’ in annex A of the Guideline on Unique Identifiers for Maritime Resources, and maintain and publish their own definitions of how identifiers within their own domain are defined.</w:t>
      </w:r>
    </w:p>
    <w:p w:rsidR="00887D8B" w:rsidRDefault="00887D8B" w:rsidP="005971E0">
      <w:pPr>
        <w:rPr>
          <w:lang w:eastAsia="de-DE"/>
        </w:rPr>
      </w:pPr>
    </w:p>
    <w:p w:rsidR="00887D8B" w:rsidRDefault="00887D8B" w:rsidP="005971E0">
      <w:pPr>
        <w:rPr>
          <w:lang w:eastAsia="de-DE"/>
        </w:rPr>
      </w:pPr>
      <w:r>
        <w:rPr>
          <w:lang w:eastAsia="de-DE"/>
        </w:rPr>
        <w:t>This would enable sister organizations or industry clusters to utilize the MRN notation to provide prefixes to existing or new definitions of identifiers within their domain, making the identifiers universally unique and compliant with a uniform syntax across the maritime industry.</w:t>
      </w:r>
    </w:p>
    <w:p w:rsidR="00775B3C" w:rsidRPr="005971E0" w:rsidRDefault="00775B3C" w:rsidP="005971E0">
      <w:pPr>
        <w:rPr>
          <w:lang w:eastAsia="de-DE"/>
        </w:rPr>
      </w:pPr>
    </w:p>
    <w:p w:rsidR="009F5C36" w:rsidRPr="00AA2626" w:rsidRDefault="008E7A45" w:rsidP="002B0236">
      <w:pPr>
        <w:pStyle w:val="Heading1"/>
      </w:pPr>
      <w:r w:rsidRPr="00AA2626">
        <w:t>ACTION REQUESTED</w:t>
      </w:r>
    </w:p>
    <w:p w:rsidR="004C220D" w:rsidRPr="00AA2626" w:rsidRDefault="00902AA4" w:rsidP="002B0236">
      <w:pPr>
        <w:pStyle w:val="BodyText"/>
      </w:pPr>
      <w:r w:rsidRPr="00AA2626">
        <w:t xml:space="preserve">The </w:t>
      </w:r>
      <w:r w:rsidR="005971E0">
        <w:t xml:space="preserve">Policy Advisory Panel </w:t>
      </w:r>
      <w:r w:rsidR="007821E7">
        <w:t xml:space="preserve">(PAP) </w:t>
      </w:r>
      <w:r w:rsidRPr="00AA2626">
        <w:t>is requested to</w:t>
      </w:r>
      <w:r w:rsidR="00630F7F" w:rsidRPr="00AA2626">
        <w:t>:</w:t>
      </w:r>
    </w:p>
    <w:p w:rsidR="00630F7F" w:rsidRPr="004743B2" w:rsidRDefault="005971E0" w:rsidP="002B0236">
      <w:pPr>
        <w:pStyle w:val="List1"/>
        <w:numPr>
          <w:ilvl w:val="0"/>
          <w:numId w:val="23"/>
        </w:numPr>
      </w:pPr>
      <w:r w:rsidRPr="004743B2">
        <w:t>Consider the use cases provided</w:t>
      </w:r>
      <w:r w:rsidR="00872453" w:rsidRPr="004743B2">
        <w:t>;</w:t>
      </w:r>
    </w:p>
    <w:p w:rsidR="00887D8B" w:rsidRPr="004743B2" w:rsidRDefault="00775B3C" w:rsidP="002B0236">
      <w:pPr>
        <w:pStyle w:val="List1"/>
      </w:pPr>
      <w:r w:rsidRPr="004743B2">
        <w:t xml:space="preserve">Seek approval with </w:t>
      </w:r>
      <w:r w:rsidR="00887D8B" w:rsidRPr="004743B2">
        <w:t>C</w:t>
      </w:r>
      <w:r w:rsidRPr="004743B2">
        <w:t>ouncil to move ahead with registrat</w:t>
      </w:r>
      <w:r w:rsidR="00887D8B" w:rsidRPr="004743B2">
        <w:t>i</w:t>
      </w:r>
      <w:r w:rsidRPr="004743B2">
        <w:t xml:space="preserve">on of the MRN namespace </w:t>
      </w:r>
      <w:r w:rsidR="00887D8B" w:rsidRPr="004743B2">
        <w:t>with the IETF</w:t>
      </w:r>
      <w:r w:rsidR="00282895">
        <w:t>.</w:t>
      </w:r>
      <w:r w:rsidR="00887D8B" w:rsidRPr="004743B2">
        <w:t xml:space="preserve"> </w:t>
      </w:r>
    </w:p>
    <w:p w:rsidR="008E2DE5" w:rsidRDefault="00887D8B" w:rsidP="008E2DE5">
      <w:pPr>
        <w:pStyle w:val="List1"/>
      </w:pPr>
      <w:r w:rsidRPr="004743B2">
        <w:t xml:space="preserve">If </w:t>
      </w:r>
      <w:r w:rsidR="008E2DE5" w:rsidRPr="004743B2">
        <w:t>approved by Council</w:t>
      </w:r>
      <w:r w:rsidR="007821E7">
        <w:t> :</w:t>
      </w:r>
      <w:r w:rsidR="008E2DE5" w:rsidRPr="004743B2">
        <w:t xml:space="preserve"> </w:t>
      </w:r>
    </w:p>
    <w:p w:rsidR="00282895" w:rsidRPr="00282895" w:rsidRDefault="00282895" w:rsidP="00282895">
      <w:pPr>
        <w:pStyle w:val="List1indent1"/>
      </w:pPr>
      <w:r>
        <w:t>T</w:t>
      </w:r>
      <w:r w:rsidRPr="00282895">
        <w:t xml:space="preserve">ake steps to initiate this work  </w:t>
      </w:r>
    </w:p>
    <w:p w:rsidR="008E2DE5" w:rsidRPr="004743B2" w:rsidRDefault="008E2DE5" w:rsidP="008E2DE5">
      <w:pPr>
        <w:pStyle w:val="List1indent1"/>
      </w:pPr>
      <w:r w:rsidRPr="004743B2">
        <w:t xml:space="preserve">Consider sending the draft guideline </w:t>
      </w:r>
      <w:r w:rsidR="00887D8B" w:rsidRPr="004743B2">
        <w:t>to</w:t>
      </w:r>
      <w:r w:rsidRPr="004743B2">
        <w:t xml:space="preserve"> other committees</w:t>
      </w:r>
      <w:r w:rsidR="00887D8B" w:rsidRPr="004743B2">
        <w:t xml:space="preserve"> for their consideration on whether to contribute to an annex of the guideline</w:t>
      </w:r>
    </w:p>
    <w:p w:rsidR="005D7AB8" w:rsidRPr="004743B2" w:rsidRDefault="00887D8B" w:rsidP="008E2DE5">
      <w:pPr>
        <w:pStyle w:val="List1indent1"/>
      </w:pPr>
      <w:r w:rsidRPr="004743B2">
        <w:t>R</w:t>
      </w:r>
      <w:r w:rsidR="00775B3C" w:rsidRPr="004743B2">
        <w:t xml:space="preserve">equest the </w:t>
      </w:r>
      <w:r w:rsidRPr="004743B2">
        <w:t>ENAV</w:t>
      </w:r>
      <w:r w:rsidR="00775B3C" w:rsidRPr="004743B2">
        <w:t xml:space="preserve"> committe to finalize the </w:t>
      </w:r>
      <w:r w:rsidRPr="004743B2">
        <w:t xml:space="preserve">draft </w:t>
      </w:r>
      <w:r w:rsidR="00775B3C" w:rsidRPr="004743B2">
        <w:t xml:space="preserve">guideline and draft liaison to IHO </w:t>
      </w:r>
      <w:r w:rsidR="008E2DE5" w:rsidRPr="004743B2">
        <w:t xml:space="preserve">and other bodies as adviced by </w:t>
      </w:r>
      <w:r w:rsidRPr="004743B2">
        <w:t xml:space="preserve">PAP </w:t>
      </w:r>
      <w:r w:rsidR="00282895">
        <w:t xml:space="preserve">or Council </w:t>
      </w:r>
      <w:r w:rsidR="00775B3C" w:rsidRPr="004743B2">
        <w:t>at ENAV 19</w:t>
      </w:r>
    </w:p>
    <w:p w:rsidR="00773775" w:rsidRDefault="00773775">
      <w:pPr>
        <w:tabs>
          <w:tab w:val="clear" w:pos="851"/>
        </w:tabs>
        <w:rPr>
          <w:highlight w:val="yellow"/>
          <w:lang w:val="fr-FR" w:eastAsia="en-GB"/>
        </w:rPr>
      </w:pPr>
      <w:r>
        <w:rPr>
          <w:highlight w:val="yellow"/>
          <w:lang w:val="fr-FR" w:eastAsia="en-GB"/>
        </w:rPr>
        <w:br w:type="page"/>
      </w:r>
    </w:p>
    <w:p w:rsidR="005D7AB8" w:rsidRDefault="005D7AB8" w:rsidP="005D7AB8">
      <w:pPr>
        <w:pStyle w:val="Appendix"/>
      </w:pPr>
      <w:r>
        <w:t>Example Usecase: Universal Voyage ID (UVID) and Universal Port Call ID (UPCID)</w:t>
      </w:r>
    </w:p>
    <w:p w:rsidR="005D7AB8" w:rsidRDefault="005D7AB8" w:rsidP="005D7AB8">
      <w:pPr>
        <w:pStyle w:val="AppendixHeading2"/>
      </w:pPr>
      <w:r>
        <w:t>Background</w:t>
      </w:r>
    </w:p>
    <w:p w:rsidR="005D7AB8" w:rsidRDefault="005D7AB8" w:rsidP="005D7AB8">
      <w:pPr>
        <w:pStyle w:val="BodyText"/>
      </w:pPr>
      <w:r>
        <w:t>The STM validation project, cofounded by the European Union under the TEN-T programme, intends to validate concepts related to Strategic and Dynamic Voyage Management, as well as interactions between ships and Port under the concept of Port Collaborative Decision Making.</w:t>
      </w:r>
    </w:p>
    <w:p w:rsidR="005D7AB8" w:rsidRDefault="005D7AB8" w:rsidP="005D7AB8">
      <w:pPr>
        <w:pStyle w:val="BodyText"/>
      </w:pPr>
      <w:r>
        <w:t xml:space="preserve">As part of the project, the need for </w:t>
      </w:r>
      <w:r w:rsidRPr="008D5E7F">
        <w:rPr>
          <w:i/>
        </w:rPr>
        <w:t>universally unique identifiers</w:t>
      </w:r>
      <w:r>
        <w:t xml:space="preserve"> to identify instances of a ships voyage (to be accessible via a Voyage Service) and instances of a port call (via a Port Call Service) has been identified as required enablers of the concepts to be validated, including definition of relevant harmonized information objects to represent a ships voyage and states or events related to a portcall, based on experience from previous projects such as MonaLisa 2.0 and PRONTO.</w:t>
      </w:r>
    </w:p>
    <w:p w:rsidR="005D7AB8" w:rsidRDefault="005D7AB8" w:rsidP="005D7AB8">
      <w:pPr>
        <w:pStyle w:val="BodyText"/>
      </w:pPr>
      <w:r>
        <w:t xml:space="preserve">These identifiers resemble identifiers utilized in logistic chain operations, for which GS1 (Global Standards One) have created a number of standards, for instance the </w:t>
      </w:r>
      <w:hyperlink r:id="rId9" w:history="1">
        <w:r w:rsidRPr="00DC0BE3">
          <w:rPr>
            <w:rStyle w:val="Hyperlink"/>
          </w:rPr>
          <w:t>EPCIS</w:t>
        </w:r>
      </w:hyperlink>
      <w:r>
        <w:t xml:space="preserve"> (Electronic Product Code Information Services) – however support for some features desired for application in a maritime context needs to be further developed, and the relation to the e-navigation strategy, the Single Window concept and S-100 data modelling regime needs to be evaluated.</w:t>
      </w:r>
    </w:p>
    <w:p w:rsidR="005D7AB8" w:rsidRDefault="005D7AB8" w:rsidP="005D7AB8">
      <w:pPr>
        <w:pStyle w:val="BodyText"/>
      </w:pPr>
      <w:r>
        <w:t xml:space="preserve">The project wishes to apply the Maritime Resource Name methodology to test and validate the concepts in the maritime context, before bringing them to relevant standardization bodies, and has requested to be registered as &lt;governing-organization&gt; for an </w:t>
      </w:r>
      <w:r w:rsidRPr="008D5E7F">
        <w:rPr>
          <w:u w:val="single"/>
        </w:rPr>
        <w:t>experimental</w:t>
      </w:r>
      <w:r>
        <w:t xml:space="preserve"> namespace (listed in Annex A):  </w:t>
      </w:r>
    </w:p>
    <w:p w:rsidR="005D7AB8" w:rsidRDefault="005D7AB8" w:rsidP="005D7AB8">
      <w:pPr>
        <w:pStyle w:val="BodyText"/>
        <w:ind w:firstLine="720"/>
      </w:pPr>
      <w:r>
        <w:t>“urn:mrnx:stm:”</w:t>
      </w:r>
    </w:p>
    <w:p w:rsidR="005D7AB8" w:rsidRDefault="005D7AB8" w:rsidP="005D7AB8">
      <w:pPr>
        <w:pStyle w:val="BodyText"/>
      </w:pPr>
    </w:p>
    <w:p w:rsidR="005D7AB8" w:rsidRDefault="005D7AB8" w:rsidP="005D7AB8">
      <w:pPr>
        <w:pStyle w:val="AppendixHeading2"/>
      </w:pPr>
      <w:r>
        <w:t>Universal Voyage_ID (UVID)</w:t>
      </w:r>
    </w:p>
    <w:p w:rsidR="005D7AB8" w:rsidRDefault="005D7AB8" w:rsidP="005D7AB8">
      <w:pPr>
        <w:pStyle w:val="BodyText"/>
      </w:pPr>
      <w:r>
        <w:t>The update of IEC 61174 teststandard for ECDIS in 2015, introduced a standardized dataformat for representation of a ships voyageplan (the RTZ format).</w:t>
      </w:r>
    </w:p>
    <w:p w:rsidR="005D7AB8" w:rsidRDefault="005D7AB8" w:rsidP="005D7AB8">
      <w:pPr>
        <w:pStyle w:val="BodyText"/>
      </w:pPr>
      <w:r>
        <w:t>This format includes an identifier field, which can be used to uniquely identify an instance of a ships planned voyage, throughout the lifecycle of the voyage from strategic planning, through the dynamic updates underway, until completion. When communicating updates between any group of stakeholders, a globally unique identifier is needed, and methods to manage the version history of changes applied.</w:t>
      </w:r>
    </w:p>
    <w:p w:rsidR="005D7AB8" w:rsidRDefault="005D7AB8" w:rsidP="005D7AB8">
      <w:pPr>
        <w:pStyle w:val="BodyText"/>
      </w:pPr>
      <w:r>
        <w:t>The STM project intends to establish the concept of a ‘Voyage Service’ as the point of contact to enable authorized parties (nominated collaborators such as agents, pilots, ports, VTS’s etc.) to interact electronically with information related to a ships voyage.</w:t>
      </w:r>
    </w:p>
    <w:p w:rsidR="005D7AB8" w:rsidRDefault="005D7AB8" w:rsidP="005D7AB8">
      <w:pPr>
        <w:pStyle w:val="BodyText"/>
      </w:pPr>
      <w:r>
        <w:t>It has been observed that centralized methods for issuing unique identifiers (such as Global Unique Flight Identifiers in the aviation industry) demand connectivity in the time of creation. This is seen as an undesirable requirement and possible point of failure. Instead a delegated approach, where each registered provider of a Voyage Service is delegated the ability to issue their own identifiers is desired.</w:t>
      </w:r>
    </w:p>
    <w:p w:rsidR="005D7AB8" w:rsidRDefault="005D7AB8" w:rsidP="005D7AB8">
      <w:pPr>
        <w:pStyle w:val="BodyText"/>
      </w:pPr>
      <w:r>
        <w:t xml:space="preserve">The project builds on an extension of the Maritime Cloud concept denoted SeaSWIM, which assumes that a </w:t>
      </w:r>
      <w:r w:rsidRPr="00442748">
        <w:rPr>
          <w:i/>
        </w:rPr>
        <w:t>Service Registry</w:t>
      </w:r>
      <w:r>
        <w:rPr>
          <w:i/>
        </w:rPr>
        <w:t xml:space="preserve"> </w:t>
      </w:r>
      <w:r w:rsidRPr="00442748">
        <w:t>exist</w:t>
      </w:r>
      <w:r>
        <w:t>, which will enable discovery of all instances of standardized Voyage Services – and that all registered instances of a Voyage Service contain a unique Voyage_Service_Provider_ID.</w:t>
      </w:r>
    </w:p>
    <w:p w:rsidR="005D7AB8" w:rsidRDefault="004743B2" w:rsidP="005D7AB8">
      <w:pPr>
        <w:pStyle w:val="BodyText"/>
      </w:pPr>
      <w:r>
        <w:rPr>
          <w:noProof/>
        </w:rPr>
        <mc:AlternateContent>
          <mc:Choice Requires="wps">
            <w:drawing>
              <wp:anchor distT="0" distB="0" distL="114300" distR="114300" simplePos="0" relativeHeight="251659264" behindDoc="0" locked="0" layoutInCell="1" allowOverlap="1" wp14:anchorId="40217A43" wp14:editId="5F5C44DD">
                <wp:simplePos x="0" y="0"/>
                <wp:positionH relativeFrom="column">
                  <wp:posOffset>-165100</wp:posOffset>
                </wp:positionH>
                <wp:positionV relativeFrom="paragraph">
                  <wp:posOffset>-1905</wp:posOffset>
                </wp:positionV>
                <wp:extent cx="4071620" cy="482600"/>
                <wp:effectExtent l="0" t="0" r="24130" b="12700"/>
                <wp:wrapNone/>
                <wp:docPr id="11" name="Rektangel 11"/>
                <wp:cNvGraphicFramePr/>
                <a:graphic xmlns:a="http://schemas.openxmlformats.org/drawingml/2006/main">
                  <a:graphicData uri="http://schemas.microsoft.com/office/word/2010/wordprocessingShape">
                    <wps:wsp>
                      <wps:cNvSpPr/>
                      <wps:spPr>
                        <a:xfrm>
                          <a:off x="0" y="0"/>
                          <a:ext cx="4071620" cy="48260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11" o:spid="_x0000_s1026" style="position:absolute;margin-left:-13pt;margin-top:-.15pt;width:320.6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" fillcolor="#5b9bd5 [3204]" strokecolor="#1f4d78 [1604]" strokeweight="1pt">
                <v:fill opacity="13107f"/>
              </v:rect>
            </w:pict>
          </mc:Fallback>
        </mc:AlternateContent>
      </w:r>
      <w:r w:rsidR="005D7AB8">
        <w:t>The following definition of the UVID is proposed for the project:</w:t>
      </w:r>
    </w:p>
    <w:p w:rsidR="005D7AB8" w:rsidRDefault="005D7AB8" w:rsidP="005D7AB8">
      <w:pPr>
        <w:pStyle w:val="BodyText"/>
        <w:ind w:firstLine="720"/>
      </w:pPr>
      <w:r>
        <w:t>“urn:mrnx:stm:uvid:”&lt;uvspid&gt;”:”&lt;localid&gt;”[:”&lt;version&gt;]</w:t>
      </w:r>
    </w:p>
    <w:p w:rsidR="005D7AB8" w:rsidRDefault="005D7AB8" w:rsidP="005D7AB8">
      <w:pPr>
        <w:pStyle w:val="BodyText"/>
      </w:pPr>
      <w:r>
        <w:t xml:space="preserve">where </w:t>
      </w:r>
    </w:p>
    <w:p w:rsidR="005D7AB8" w:rsidRDefault="005D7AB8" w:rsidP="005D7AB8">
      <w:pPr>
        <w:pStyle w:val="BodyText"/>
        <w:numPr>
          <w:ilvl w:val="0"/>
          <w:numId w:val="34"/>
        </w:numPr>
        <w:tabs>
          <w:tab w:val="clear" w:pos="851"/>
        </w:tabs>
      </w:pPr>
      <w:r>
        <w:t xml:space="preserve">&lt;uvspid&gt;  denotes a </w:t>
      </w:r>
      <w:r w:rsidRPr="00442748">
        <w:t>Voyage</w:t>
      </w:r>
      <w:r>
        <w:t>_</w:t>
      </w:r>
      <w:r w:rsidRPr="00442748">
        <w:t>Service</w:t>
      </w:r>
      <w:r>
        <w:t>_Provider_I</w:t>
      </w:r>
      <w:r w:rsidRPr="00442748">
        <w:t>D</w:t>
      </w:r>
      <w:r>
        <w:t xml:space="preserve"> defined as:</w:t>
      </w:r>
    </w:p>
    <w:p w:rsidR="005D7AB8" w:rsidRPr="008D5E7F" w:rsidRDefault="005D7AB8" w:rsidP="005D7AB8">
      <w:pPr>
        <w:pStyle w:val="BodyText"/>
        <w:numPr>
          <w:ilvl w:val="1"/>
          <w:numId w:val="34"/>
        </w:numPr>
        <w:tabs>
          <w:tab w:val="clear" w:pos="851"/>
        </w:tabs>
      </w:pPr>
      <w:r>
        <w:t xml:space="preserve"> ”</w:t>
      </w:r>
      <w:r>
        <w:rPr>
          <w:i/>
          <w:iCs/>
        </w:rPr>
        <w:t>&lt;governing-organization&gt;"-"&lt;vsid&gt;"</w:t>
      </w:r>
    </w:p>
    <w:p w:rsidR="005D7AB8" w:rsidRPr="005009E7" w:rsidRDefault="005D7AB8" w:rsidP="005D7AB8">
      <w:pPr>
        <w:pStyle w:val="BodyText"/>
        <w:numPr>
          <w:ilvl w:val="2"/>
          <w:numId w:val="34"/>
        </w:numPr>
        <w:tabs>
          <w:tab w:val="clear" w:pos="851"/>
        </w:tabs>
      </w:pPr>
      <w:r>
        <w:rPr>
          <w:i/>
          <w:iCs/>
        </w:rPr>
        <w:t xml:space="preserve">&lt;governing-organization&gt; </w:t>
      </w:r>
      <w:r w:rsidRPr="008D5E7F">
        <w:rPr>
          <w:iCs/>
        </w:rPr>
        <w:t>is</w:t>
      </w:r>
      <w:r>
        <w:rPr>
          <w:i/>
          <w:iCs/>
        </w:rPr>
        <w:t xml:space="preserve"> </w:t>
      </w:r>
      <w:r>
        <w:t xml:space="preserve">lowercase alphanumeric values (a-z, 0-9, no space or other special characters) and denotes </w:t>
      </w:r>
      <w:r>
        <w:rPr>
          <w:iCs/>
        </w:rPr>
        <w:t>an organization which guarantees the uniqueness of the Voyage_Service_ID (&lt;vsid&gt;)</w:t>
      </w:r>
    </w:p>
    <w:p w:rsidR="005D7AB8" w:rsidRDefault="005D7AB8" w:rsidP="005D7AB8">
      <w:pPr>
        <w:pStyle w:val="BodyText"/>
        <w:numPr>
          <w:ilvl w:val="2"/>
          <w:numId w:val="34"/>
        </w:numPr>
        <w:tabs>
          <w:tab w:val="clear" w:pos="851"/>
        </w:tabs>
      </w:pPr>
      <w:r>
        <w:rPr>
          <w:i/>
          <w:iCs/>
        </w:rPr>
        <w:t xml:space="preserve">&lt;vsid&gt; </w:t>
      </w:r>
      <w:r>
        <w:rPr>
          <w:iCs/>
        </w:rPr>
        <w:t xml:space="preserve">is </w:t>
      </w:r>
      <w:r>
        <w:t xml:space="preserve">lowercase alphanumeric values (a-z, 0-9, no space or other special characters) and denotes </w:t>
      </w:r>
      <w:r>
        <w:rPr>
          <w:iCs/>
        </w:rPr>
        <w:t xml:space="preserve">a unique number identifying a single provider of the Voyage Service under the domain of </w:t>
      </w:r>
      <w:r>
        <w:rPr>
          <w:i/>
          <w:iCs/>
        </w:rPr>
        <w:t>&lt;governing-organization&gt;.</w:t>
      </w:r>
    </w:p>
    <w:p w:rsidR="005D7AB8" w:rsidRDefault="005D7AB8" w:rsidP="005D7AB8">
      <w:pPr>
        <w:pStyle w:val="BodyText"/>
        <w:numPr>
          <w:ilvl w:val="0"/>
          <w:numId w:val="34"/>
        </w:numPr>
        <w:tabs>
          <w:tab w:val="clear" w:pos="851"/>
        </w:tabs>
      </w:pPr>
      <w:r>
        <w:t xml:space="preserve">&lt;localid&gt;  is an ID (lowercase alphanumeric values (a-z, 0-9, no space or other special characters – a serialnumber or similar) issued by the provider of the Voyage Service, which is guaranteed to be unique </w:t>
      </w:r>
      <w:r w:rsidRPr="008D5E7F">
        <w:rPr>
          <w:i/>
        </w:rPr>
        <w:t>within the context of this particular instance of a Voyage Service</w:t>
      </w:r>
      <w:r>
        <w:t xml:space="preserve"> by the provider of the service. </w:t>
      </w:r>
    </w:p>
    <w:p w:rsidR="005D7AB8" w:rsidRDefault="005D7AB8" w:rsidP="005D7AB8">
      <w:pPr>
        <w:pStyle w:val="BodyText"/>
        <w:numPr>
          <w:ilvl w:val="0"/>
          <w:numId w:val="34"/>
        </w:numPr>
        <w:tabs>
          <w:tab w:val="clear" w:pos="851"/>
        </w:tabs>
      </w:pPr>
      <w:r>
        <w:t>&lt;version&gt; is an optional extension, which is defined as: &lt;major_version&gt;[“.”&lt;minor_version&gt;]</w:t>
      </w:r>
    </w:p>
    <w:p w:rsidR="005D7AB8" w:rsidRDefault="005D7AB8" w:rsidP="005D7AB8">
      <w:pPr>
        <w:pStyle w:val="BodyText"/>
        <w:numPr>
          <w:ilvl w:val="1"/>
          <w:numId w:val="34"/>
        </w:numPr>
        <w:tabs>
          <w:tab w:val="clear" w:pos="851"/>
        </w:tabs>
      </w:pPr>
      <w:r>
        <w:t xml:space="preserve">&lt;major_version&gt;: Numerical characters (0-9, no space or special characters). A major version number is only incremented, when the OWNER of a voyage (during the voyage: the ships captain) commits changes to </w:t>
      </w:r>
      <w:r w:rsidR="00927DA0">
        <w:t>its</w:t>
      </w:r>
      <w:r>
        <w:t xml:space="preserve"> geometry or planned (targeted) schedule/timing.</w:t>
      </w:r>
    </w:p>
    <w:p w:rsidR="005D7AB8" w:rsidRDefault="005D7AB8" w:rsidP="005D7AB8">
      <w:pPr>
        <w:pStyle w:val="BodyText"/>
        <w:numPr>
          <w:ilvl w:val="1"/>
          <w:numId w:val="34"/>
        </w:numPr>
        <w:tabs>
          <w:tab w:val="clear" w:pos="851"/>
        </w:tabs>
      </w:pPr>
      <w:r>
        <w:t xml:space="preserve">&lt;minor_version&gt;: Optional field - numerical characters (0-9, no space or special characters). Minor version number is incremented, every time a collaborating actors provide a </w:t>
      </w:r>
      <w:r w:rsidRPr="008D5E7F">
        <w:rPr>
          <w:u w:val="single"/>
        </w:rPr>
        <w:t>proposed change</w:t>
      </w:r>
      <w:r>
        <w:t xml:space="preserve"> to a voyage (change of route or timing) or when calculated ETA at waypoints marked with a planned/target time of arrival changes (more than a set threshold value). If the owner of the voyage approves and commits a proposed change of route or planned timing, the major version is incremented, and the minor_version reset to 0. </w:t>
      </w:r>
    </w:p>
    <w:p w:rsidR="005D7AB8" w:rsidRDefault="005D7AB8" w:rsidP="005D7AB8">
      <w:pPr>
        <w:pStyle w:val="BodyText"/>
        <w:ind w:firstLine="720"/>
      </w:pPr>
    </w:p>
    <w:p w:rsidR="005D7AB8" w:rsidRDefault="005D7AB8" w:rsidP="005D7AB8">
      <w:pPr>
        <w:pStyle w:val="BodyText"/>
      </w:pPr>
    </w:p>
    <w:p w:rsidR="005D7AB8" w:rsidRPr="008D5E7F" w:rsidRDefault="005D7AB8" w:rsidP="005D7AB8">
      <w:pPr>
        <w:pStyle w:val="BodyText"/>
        <w:rPr>
          <w:b/>
        </w:rPr>
      </w:pPr>
      <w:r w:rsidRPr="008D5E7F">
        <w:rPr>
          <w:b/>
        </w:rPr>
        <w:t>EXAMPLE</w:t>
      </w:r>
    </w:p>
    <w:p w:rsidR="005D7AB8" w:rsidRDefault="005D7AB8" w:rsidP="005D7AB8">
      <w:pPr>
        <w:pStyle w:val="BodyText"/>
      </w:pPr>
      <w:r>
        <w:t>“urn:mrnx:stm:uvid:stm-a:134:1” denotes voyage number “134” (version “1”) held at Voyage Service Provider “urn:mrnx:stm:uvspid:stm-a”.</w:t>
      </w:r>
    </w:p>
    <w:p w:rsidR="005D7AB8" w:rsidRDefault="005D7AB8" w:rsidP="005D7AB8">
      <w:pPr>
        <w:pStyle w:val="BodyText"/>
      </w:pPr>
      <w:r>
        <w:t xml:space="preserve">If a </w:t>
      </w:r>
      <w:r w:rsidR="007821E7">
        <w:t>p</w:t>
      </w:r>
      <w:r>
        <w:t xml:space="preserve">ort receives notification, that the voyage with UVID “urn:mrnx:stm:uvid:stm-a:134:1” is intending to arrive at their port at a certain Planned (Target) Time of Arrival, and the port may start planning the Port Call. </w:t>
      </w:r>
    </w:p>
    <w:p w:rsidR="005D7AB8" w:rsidRDefault="005D7AB8" w:rsidP="005D7AB8">
      <w:pPr>
        <w:pStyle w:val="BodyText"/>
      </w:pPr>
      <w:r>
        <w:t xml:space="preserve">The </w:t>
      </w:r>
      <w:r w:rsidR="007821E7">
        <w:t>p</w:t>
      </w:r>
      <w:r>
        <w:t xml:space="preserve">ort can then identify the &lt;uvspid&gt; (“stm-a”) from the UVID, and discover the address of the Voyage Service “stm-a”, using the search parameter “urn:mrnx:stm:uvspid:stm-a” in the Service Registry. </w:t>
      </w:r>
    </w:p>
    <w:p w:rsidR="005D7AB8" w:rsidRDefault="005D7AB8" w:rsidP="005D7AB8">
      <w:pPr>
        <w:pStyle w:val="BodyText"/>
      </w:pPr>
      <w:r>
        <w:t xml:space="preserve">Based on the reply from the service registry, they know which Voyage Service to query for information about the approaching ship, based on the standardized interfaces of a Voyage Service. </w:t>
      </w:r>
    </w:p>
    <w:p w:rsidR="005D7AB8" w:rsidRDefault="005D7AB8" w:rsidP="005D7AB8">
      <w:pPr>
        <w:pStyle w:val="BodyText"/>
      </w:pPr>
      <w:r>
        <w:t>Assuming that the port is nominated as collaborator for this voyage by the owner of the voyage (the captain), they can retrieve the information allowed by the owner.</w:t>
      </w:r>
    </w:p>
    <w:p w:rsidR="005D7AB8" w:rsidRDefault="005D7AB8" w:rsidP="005D7AB8">
      <w:pPr>
        <w:pStyle w:val="BodyText"/>
      </w:pPr>
      <w:r>
        <w:t>The port may wish to propose a different time of arrival for this particular voyage. They send their proposed time of arrival for voyage “urn:mrnx:stm:uvid:stm-a:134” to the Voyage Service “stm-a”, which will increment the &lt;minor_version&gt; and generate version “1.1” of the voyage “stm-a:134” inside the Voyage Service, triggering a notification of the owner of the voyage that a new proposal has been made. I</w:t>
      </w:r>
      <w:r w:rsidR="007821E7">
        <w:t>f</w:t>
      </w:r>
      <w:r>
        <w:t xml:space="preserve"> the owner approves the proposal 1.1, then a version “2.0” is generated, and all nominated collaborators subscribing to updates of that Voyage are notified.</w:t>
      </w:r>
    </w:p>
    <w:p w:rsidR="005D7AB8" w:rsidRDefault="005D7AB8" w:rsidP="005D7AB8">
      <w:pPr>
        <w:pStyle w:val="BodyText"/>
      </w:pPr>
    </w:p>
    <w:p w:rsidR="005D7AB8" w:rsidRDefault="005D7AB8" w:rsidP="005D7AB8">
      <w:pPr>
        <w:pStyle w:val="AppendixHeading2"/>
      </w:pPr>
      <w:r>
        <w:t>Universal PortCall_ID (UPCID)</w:t>
      </w:r>
    </w:p>
    <w:p w:rsidR="005D7AB8" w:rsidRDefault="005D7AB8" w:rsidP="005D7AB8">
      <w:pPr>
        <w:pStyle w:val="BodyText"/>
      </w:pPr>
      <w:r>
        <w:t>The STM project intends to establish the concept of a ‘Port Call Service’ as the point of contact to enable authorized parties (nominated collaborators to a Port Call, such as the master of a ship, the Port master, agents, pilots, tugs, ports, VTS’s, terminals etc.) to interact electronically with information related to a particular Port Call.</w:t>
      </w:r>
    </w:p>
    <w:p w:rsidR="005D7AB8" w:rsidRDefault="005D7AB8" w:rsidP="005D7AB8">
      <w:pPr>
        <w:pStyle w:val="BodyText"/>
      </w:pPr>
      <w:r>
        <w:rPr>
          <w:noProof/>
        </w:rPr>
        <mc:AlternateContent>
          <mc:Choice Requires="wps">
            <w:drawing>
              <wp:anchor distT="0" distB="0" distL="114300" distR="114300" simplePos="0" relativeHeight="251660288" behindDoc="0" locked="0" layoutInCell="1" allowOverlap="1" wp14:anchorId="024459C5" wp14:editId="1334867A">
                <wp:simplePos x="0" y="0"/>
                <wp:positionH relativeFrom="column">
                  <wp:posOffset>-37836</wp:posOffset>
                </wp:positionH>
                <wp:positionV relativeFrom="paragraph">
                  <wp:posOffset>210820</wp:posOffset>
                </wp:positionV>
                <wp:extent cx="4071620" cy="482600"/>
                <wp:effectExtent l="0" t="0" r="24130" b="12700"/>
                <wp:wrapNone/>
                <wp:docPr id="10" name="Rektangel 10"/>
                <wp:cNvGraphicFramePr/>
                <a:graphic xmlns:a="http://schemas.openxmlformats.org/drawingml/2006/main">
                  <a:graphicData uri="http://schemas.microsoft.com/office/word/2010/wordprocessingShape">
                    <wps:wsp>
                      <wps:cNvSpPr/>
                      <wps:spPr>
                        <a:xfrm>
                          <a:off x="0" y="0"/>
                          <a:ext cx="4071620" cy="482600"/>
                        </a:xfrm>
                        <a:prstGeom prst="rect">
                          <a:avLst/>
                        </a:prstGeom>
                        <a:solidFill>
                          <a:schemeClr val="accent1">
                            <a:alpha val="2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10" o:spid="_x0000_s1026" style="position:absolute;margin-left:-3pt;margin-top:16.6pt;width:320.6pt;height: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" fillcolor="#5b9bd5 [3204]" strokecolor="#1f4d78 [1604]" strokeweight="1pt">
                <v:fill opacity="13107f"/>
              </v:rect>
            </w:pict>
          </mc:Fallback>
        </mc:AlternateContent>
      </w:r>
    </w:p>
    <w:p w:rsidR="005D7AB8" w:rsidRDefault="005D7AB8" w:rsidP="005D7AB8">
      <w:pPr>
        <w:pStyle w:val="BodyText"/>
      </w:pPr>
      <w:r>
        <w:t>The following definition of the UPCID is proposed for the project:</w:t>
      </w:r>
    </w:p>
    <w:p w:rsidR="005D7AB8" w:rsidRDefault="005D7AB8" w:rsidP="005D7AB8">
      <w:pPr>
        <w:pStyle w:val="BodyText"/>
        <w:ind w:firstLine="720"/>
      </w:pPr>
      <w:r>
        <w:t>“urn:mrnx:stm:upcid:”&lt;upcspid&gt;”:”&lt;localid&gt;”[:”&lt;version&gt;]</w:t>
      </w:r>
    </w:p>
    <w:p w:rsidR="005D7AB8" w:rsidRDefault="005D7AB8" w:rsidP="005D7AB8">
      <w:pPr>
        <w:pStyle w:val="BodyText"/>
      </w:pPr>
    </w:p>
    <w:p w:rsidR="005D7AB8" w:rsidRDefault="005D7AB8" w:rsidP="005D7AB8">
      <w:pPr>
        <w:pStyle w:val="BodyText"/>
      </w:pPr>
      <w:r>
        <w:t xml:space="preserve">where </w:t>
      </w:r>
    </w:p>
    <w:p w:rsidR="005D7AB8" w:rsidRDefault="005D7AB8" w:rsidP="005D7AB8">
      <w:pPr>
        <w:pStyle w:val="BodyText"/>
        <w:numPr>
          <w:ilvl w:val="0"/>
          <w:numId w:val="34"/>
        </w:numPr>
        <w:tabs>
          <w:tab w:val="clear" w:pos="851"/>
        </w:tabs>
      </w:pPr>
      <w:r>
        <w:t>&lt;upcspid&gt;  denotes a Port_Call_</w:t>
      </w:r>
      <w:r w:rsidRPr="00442748">
        <w:t>Service</w:t>
      </w:r>
      <w:r>
        <w:t>_Provider_I</w:t>
      </w:r>
      <w:r w:rsidRPr="00442748">
        <w:t>D</w:t>
      </w:r>
      <w:r>
        <w:t xml:space="preserve"> defined as:</w:t>
      </w:r>
    </w:p>
    <w:p w:rsidR="005D7AB8" w:rsidRPr="00442748" w:rsidRDefault="005D7AB8" w:rsidP="005D7AB8">
      <w:pPr>
        <w:pStyle w:val="BodyText"/>
        <w:numPr>
          <w:ilvl w:val="1"/>
          <w:numId w:val="34"/>
        </w:numPr>
        <w:tabs>
          <w:tab w:val="clear" w:pos="851"/>
        </w:tabs>
      </w:pPr>
      <w:r>
        <w:t xml:space="preserve"> ”</w:t>
      </w:r>
      <w:r>
        <w:rPr>
          <w:i/>
          <w:iCs/>
        </w:rPr>
        <w:t>&lt;governing-organization&gt;"-"&lt;pcsid&gt;"</w:t>
      </w:r>
    </w:p>
    <w:p w:rsidR="005D7AB8" w:rsidRPr="00442748" w:rsidRDefault="005D7AB8" w:rsidP="005D7AB8">
      <w:pPr>
        <w:pStyle w:val="BodyText"/>
        <w:numPr>
          <w:ilvl w:val="2"/>
          <w:numId w:val="34"/>
        </w:numPr>
        <w:tabs>
          <w:tab w:val="clear" w:pos="851"/>
        </w:tabs>
      </w:pPr>
      <w:r>
        <w:rPr>
          <w:i/>
          <w:iCs/>
        </w:rPr>
        <w:t xml:space="preserve">&lt;governing-organization&gt; </w:t>
      </w:r>
      <w:r w:rsidRPr="00442748">
        <w:rPr>
          <w:iCs/>
        </w:rPr>
        <w:t>is</w:t>
      </w:r>
      <w:r>
        <w:rPr>
          <w:i/>
          <w:iCs/>
        </w:rPr>
        <w:t xml:space="preserve"> </w:t>
      </w:r>
      <w:r>
        <w:t xml:space="preserve">lowercase alphanumeric values (a-z, 0-9, no space or other special characters) and denotes </w:t>
      </w:r>
      <w:r>
        <w:rPr>
          <w:iCs/>
        </w:rPr>
        <w:t>an organization which guarantees the uniqueness of the Port_Call_Service_ID (&lt;vsid&gt;)</w:t>
      </w:r>
    </w:p>
    <w:p w:rsidR="005D7AB8" w:rsidRDefault="005D7AB8" w:rsidP="005D7AB8">
      <w:pPr>
        <w:pStyle w:val="BodyText"/>
        <w:numPr>
          <w:ilvl w:val="2"/>
          <w:numId w:val="34"/>
        </w:numPr>
        <w:tabs>
          <w:tab w:val="clear" w:pos="851"/>
        </w:tabs>
      </w:pPr>
      <w:r>
        <w:rPr>
          <w:i/>
          <w:iCs/>
        </w:rPr>
        <w:t xml:space="preserve">&lt;pcsid&gt; </w:t>
      </w:r>
      <w:r>
        <w:rPr>
          <w:iCs/>
        </w:rPr>
        <w:t xml:space="preserve">is </w:t>
      </w:r>
      <w:r>
        <w:t xml:space="preserve">lowercase alphanumeric values (a-z, 0-9, no space or other special characters) and denotes </w:t>
      </w:r>
      <w:r>
        <w:rPr>
          <w:iCs/>
        </w:rPr>
        <w:t xml:space="preserve">a unique number identifying a single provider of the Port Call Service under the domain of </w:t>
      </w:r>
      <w:r>
        <w:rPr>
          <w:i/>
          <w:iCs/>
        </w:rPr>
        <w:t>&lt;governing-organization&gt;.</w:t>
      </w:r>
    </w:p>
    <w:p w:rsidR="005D7AB8" w:rsidRDefault="005D7AB8" w:rsidP="005D7AB8">
      <w:pPr>
        <w:pStyle w:val="BodyText"/>
        <w:numPr>
          <w:ilvl w:val="0"/>
          <w:numId w:val="34"/>
        </w:numPr>
        <w:tabs>
          <w:tab w:val="clear" w:pos="851"/>
        </w:tabs>
      </w:pPr>
      <w:r>
        <w:t xml:space="preserve">&lt;localid&gt;  is an ID (lowercase alphanumeric values (a-z, 0-9, no space or other special characters – a serialnumber or similar) issued by the provider of the Port Call Service, which is guaranteed to be unique </w:t>
      </w:r>
      <w:r w:rsidRPr="00442748">
        <w:rPr>
          <w:i/>
        </w:rPr>
        <w:t xml:space="preserve">within the context of this particular instance of a </w:t>
      </w:r>
      <w:r>
        <w:rPr>
          <w:i/>
        </w:rPr>
        <w:t xml:space="preserve">Port Call </w:t>
      </w:r>
      <w:r w:rsidRPr="00442748">
        <w:rPr>
          <w:i/>
        </w:rPr>
        <w:t>Service</w:t>
      </w:r>
      <w:r>
        <w:t xml:space="preserve"> by the provider of the service. </w:t>
      </w:r>
    </w:p>
    <w:p w:rsidR="005D7AB8" w:rsidRDefault="005D7AB8" w:rsidP="005D7AB8">
      <w:pPr>
        <w:pStyle w:val="BodyText"/>
        <w:numPr>
          <w:ilvl w:val="0"/>
          <w:numId w:val="34"/>
        </w:numPr>
        <w:tabs>
          <w:tab w:val="clear" w:pos="851"/>
        </w:tabs>
      </w:pPr>
      <w:r>
        <w:t xml:space="preserve">&lt;version&gt; is an optional extension, and </w:t>
      </w:r>
      <w:r w:rsidR="00927DA0">
        <w:t>its</w:t>
      </w:r>
      <w:r>
        <w:t xml:space="preserve"> use may change during the project. It is proposed as: &lt;major_version&gt;[“.”&lt;minor_version&gt;]</w:t>
      </w:r>
    </w:p>
    <w:p w:rsidR="005D7AB8" w:rsidRDefault="005D7AB8" w:rsidP="005D7AB8">
      <w:pPr>
        <w:pStyle w:val="BodyText"/>
        <w:numPr>
          <w:ilvl w:val="1"/>
          <w:numId w:val="34"/>
        </w:numPr>
        <w:tabs>
          <w:tab w:val="clear" w:pos="851"/>
        </w:tabs>
      </w:pPr>
      <w:r>
        <w:t>&lt;major_version&gt;: Numerical characters (0-9, no space or special characters). A major version number is only incremented, when the OWNER of a Port Call (may depend on local organization of the port) commits changes to the planned (targeted) timing of arrival or departure.</w:t>
      </w:r>
    </w:p>
    <w:p w:rsidR="005D7AB8" w:rsidRDefault="005D7AB8" w:rsidP="005D7AB8">
      <w:pPr>
        <w:pStyle w:val="BodyText"/>
        <w:numPr>
          <w:ilvl w:val="1"/>
          <w:numId w:val="34"/>
        </w:numPr>
        <w:tabs>
          <w:tab w:val="clear" w:pos="851"/>
        </w:tabs>
      </w:pPr>
      <w:r>
        <w:t xml:space="preserve">&lt;minor_version&gt;: Optional field - numerical characters (0-9, no space or special characters). Minor version number is incremented, every time a collaborating actors provide a notification of a changed state or planning time. </w:t>
      </w:r>
    </w:p>
    <w:p w:rsidR="00773775" w:rsidRDefault="00773775">
      <w:pPr>
        <w:tabs>
          <w:tab w:val="clear" w:pos="851"/>
        </w:tabs>
        <w:rPr>
          <w:rFonts w:eastAsia="Calibri" w:cs="Calibri"/>
          <w:b/>
          <w:szCs w:val="22"/>
          <w:lang w:eastAsia="en-GB"/>
        </w:rPr>
      </w:pPr>
      <w:r>
        <w:rPr>
          <w:b/>
        </w:rPr>
        <w:br w:type="page"/>
      </w:r>
    </w:p>
    <w:p w:rsidR="005D7AB8" w:rsidRPr="00442748" w:rsidRDefault="005D7AB8" w:rsidP="005D7AB8">
      <w:pPr>
        <w:pStyle w:val="BodyText"/>
        <w:rPr>
          <w:b/>
        </w:rPr>
      </w:pPr>
      <w:r w:rsidRPr="00442748">
        <w:rPr>
          <w:b/>
        </w:rPr>
        <w:t>EXAMPLE</w:t>
      </w:r>
    </w:p>
    <w:p w:rsidR="005D7AB8" w:rsidRDefault="005D7AB8" w:rsidP="005D7AB8">
      <w:pPr>
        <w:pStyle w:val="BodyText"/>
      </w:pPr>
      <w:r>
        <w:t xml:space="preserve">A Port Call Service provided by Port Call Service Provider X “urn:mrnx:upcspid:stm-x” on behalf of Port P receives notification, that the voyage with UVID “urn:mrnx:stm:uvid:stm-a:134:1” is intending to arrive at their port at a certain Planned (Target) Time of Arrival. </w:t>
      </w:r>
    </w:p>
    <w:p w:rsidR="005D7AB8" w:rsidRDefault="005D7AB8" w:rsidP="005D7AB8">
      <w:pPr>
        <w:pStyle w:val="BodyText"/>
      </w:pPr>
      <w:r>
        <w:t>Since there is no Port Call registered that relate to voyage “urn:mrnx:stm:uvid:stm-a:134” in Port P, a new Port Call ID is generated (version 1): “urn:mrnx:stm:upcid:stm-x:2899:1” which relates to the inbound voyage “urn:mrnx:stm:uvid:stm-a:134:1”. The Voyage Service is that notified by the port of the reference ID of the Port Call – and a relation between the Voyage information and Port Call information now exist.</w:t>
      </w:r>
    </w:p>
    <w:p w:rsidR="005D7AB8" w:rsidRDefault="005D7AB8" w:rsidP="005D7AB8">
      <w:pPr>
        <w:pStyle w:val="BodyText"/>
      </w:pPr>
      <w:r>
        <w:t xml:space="preserve">The port might notify the local VTS that Port Call “urn:mrnx:stm:upcid:stm-x:2899:1” is created, and the VTS with access to the local Port Call System can that way identify that voyage “urn:mrnx:stm:uvid:stm-a:134” is approaching. The VTS can discover the address of the Voyage Service “stm-a”, and based on the reply from the service registry, they know which Voyage Service to query for information about the approaching ship, based on the standardized interfaces of a Voyage Service. If the VTS is nominated as collaborator for this voyage by the owner of the voyage, they can retrieve the information allowed, related to the most recent major version of the voyage, or register for being notified of updates. </w:t>
      </w:r>
    </w:p>
    <w:p w:rsidR="005D7AB8" w:rsidRDefault="005D7AB8" w:rsidP="005D7AB8">
      <w:pPr>
        <w:pStyle w:val="BodyText"/>
      </w:pPr>
      <w:r>
        <w:t>If the VTS is not nominated as a collaborator, they may request access, and the owner of the voyage will be notified of the request and make his decision.</w:t>
      </w:r>
    </w:p>
    <w:p w:rsidR="005D7AB8" w:rsidRDefault="005D7AB8" w:rsidP="005D7AB8">
      <w:pPr>
        <w:pStyle w:val="BodyText"/>
      </w:pPr>
      <w:r>
        <w:t>The Owner of the inbound Voyage “urn:mrnx:stm:uvid:stm-a:134” related to Port Call “urn:mrnx:stm:upcid:stm-x:2899:1.0”, may request that certain local port actors such as pilots, tugs, terminals, etc. are nominated as collaborators to this particular Port Call, and may thus access and collaborate in the planning related to the Port Call of this ship.</w:t>
      </w:r>
    </w:p>
    <w:p w:rsidR="005D7AB8" w:rsidRDefault="005D7AB8" w:rsidP="005D7AB8">
      <w:pPr>
        <w:pStyle w:val="BodyText"/>
      </w:pPr>
    </w:p>
    <w:p w:rsidR="005D7AB8" w:rsidRDefault="005D7AB8" w:rsidP="005D7AB8">
      <w:pPr>
        <w:pStyle w:val="AppendixHeading2"/>
      </w:pPr>
      <w:r>
        <w:t xml:space="preserve">Post project considerations for utilization of the UVID and UPCID identifiers </w:t>
      </w:r>
    </w:p>
    <w:p w:rsidR="005D7AB8" w:rsidRDefault="005D7AB8" w:rsidP="005D7AB8">
      <w:pPr>
        <w:pStyle w:val="BodyText"/>
      </w:pPr>
      <w:r>
        <w:t>Assuming that the STM validation project delivers a positive validation of this way to handle UVID’s, UPCID’s - and associated service provider ID’s, the construction of these identifiers may be brought forward as a proposal for a standard to be published by some relevant standardization organization.</w:t>
      </w:r>
    </w:p>
    <w:p w:rsidR="005D7AB8" w:rsidRDefault="005D7AB8" w:rsidP="005D7AB8">
      <w:pPr>
        <w:pStyle w:val="BodyText"/>
      </w:pPr>
      <w:r>
        <w:t>Regardless of which organization is identified as the relevant host of such a standard, the intention will be to replace the prefix of the identifier construction (“urn:mrnx:stm:”) with another prefix, identifying the relevant host organization. Possible results could be:</w:t>
      </w:r>
    </w:p>
    <w:p w:rsidR="005D7AB8" w:rsidRDefault="005D7AB8" w:rsidP="005D7AB8">
      <w:pPr>
        <w:pStyle w:val="BodyText"/>
        <w:numPr>
          <w:ilvl w:val="0"/>
          <w:numId w:val="35"/>
        </w:numPr>
        <w:tabs>
          <w:tab w:val="clear" w:pos="851"/>
        </w:tabs>
      </w:pPr>
      <w:r>
        <w:t xml:space="preserve">“urn:mrn:stm:” if the STM project ends up establishing a STM governing organization </w:t>
      </w:r>
    </w:p>
    <w:p w:rsidR="005D7AB8" w:rsidRDefault="005D7AB8" w:rsidP="005D7AB8">
      <w:pPr>
        <w:pStyle w:val="BodyText"/>
        <w:numPr>
          <w:ilvl w:val="0"/>
          <w:numId w:val="35"/>
        </w:numPr>
        <w:tabs>
          <w:tab w:val="clear" w:pos="851"/>
        </w:tabs>
      </w:pPr>
      <w:r>
        <w:t xml:space="preserve">“urn:gs1:” if the STM project ends up proposing the STM services to become GS1 standards </w:t>
      </w:r>
    </w:p>
    <w:p w:rsidR="005D7AB8" w:rsidRDefault="005D7AB8" w:rsidP="005D7AB8">
      <w:pPr>
        <w:pStyle w:val="BodyText"/>
        <w:numPr>
          <w:ilvl w:val="0"/>
          <w:numId w:val="35"/>
        </w:numPr>
        <w:tabs>
          <w:tab w:val="clear" w:pos="851"/>
        </w:tabs>
      </w:pPr>
      <w:r>
        <w:t>“urn:mrn:ihma:” should the STM project end up proposing IHMA (International Harbour Masters Association) as the host for standardizing the STM services.</w:t>
      </w:r>
    </w:p>
    <w:p w:rsidR="005D7AB8" w:rsidRPr="005009E7" w:rsidRDefault="005D7AB8" w:rsidP="005D7AB8">
      <w:pPr>
        <w:pStyle w:val="BodyText"/>
      </w:pPr>
      <w:r>
        <w:t>Either way, the technical implementations of STM Services in the testbeds may be prepared through configuration to accept another prefix than the “urn:mrnx:stm:” as the ‘production’ prefix of STM services, leaving the “urn:mrnx:stm:” as an indication that data belong to a testbed, rather than production environment.</w:t>
      </w:r>
    </w:p>
    <w:sectPr w:rsidR="005D7AB8" w:rsidRPr="005009E7" w:rsidSect="005D05AC">
      <w:headerReference w:type="even" r:id="rId10"/>
      <w:headerReference w:type="default" r:id="rId11"/>
      <w:footerReference w:type="even" r:id="rId12"/>
      <w:footerReference w:type="default" r:id="rId13"/>
      <w:headerReference w:type="first" r:id="rId14"/>
      <w:footerReference w:type="first" r:id="rId15"/>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0AB" w:rsidRDefault="008A10AB" w:rsidP="002B0236">
      <w:r>
        <w:separator/>
      </w:r>
    </w:p>
  </w:endnote>
  <w:endnote w:type="continuationSeparator" w:id="0">
    <w:p w:rsidR="008A10AB" w:rsidRDefault="008A10AB" w:rsidP="002B0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CC" w:rsidRDefault="00F12CCC" w:rsidP="002B02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CC" w:rsidRDefault="00F12CCC" w:rsidP="002B0236">
    <w:pPr>
      <w:pStyle w:val="Footer"/>
    </w:pPr>
    <w:r>
      <w:tab/>
    </w:r>
    <w:r>
      <w:fldChar w:fldCharType="begin"/>
    </w:r>
    <w:r>
      <w:instrText xml:space="preserve"> PAGE   \* MERGEFORMAT </w:instrText>
    </w:r>
    <w:r>
      <w:fldChar w:fldCharType="separate"/>
    </w:r>
    <w:r w:rsidR="0029792E">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CC" w:rsidRDefault="00F12CCC" w:rsidP="002B02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0AB" w:rsidRDefault="008A10AB" w:rsidP="002B0236">
      <w:r>
        <w:separator/>
      </w:r>
    </w:p>
  </w:footnote>
  <w:footnote w:type="continuationSeparator" w:id="0">
    <w:p w:rsidR="008A10AB" w:rsidRDefault="008A10AB" w:rsidP="002B02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CC" w:rsidRDefault="008A10AB" w:rsidP="002B02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61501" o:spid="_x0000_s2050" type="#_x0000_t136" style="position:absolute;left:0;text-align:left;margin-left:0;margin-top:0;width:634.5pt;height:68.45pt;rotation:315;z-index:-251658752;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CC" w:rsidRDefault="008A10AB" w:rsidP="002B02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61502" o:spid="_x0000_s2051" type="#_x0000_t136" style="position:absolute;left:0;text-align:left;margin-left:0;margin-top:0;width:634.5pt;height:68.45pt;rotation:315;z-index:-251657728;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r w:rsidR="00F12CCC">
      <w:rPr>
        <w:noProof/>
        <w:lang w:val="en-GB" w:eastAsia="en-GB"/>
      </w:rPr>
      <w:drawing>
        <wp:inline distT="0" distB="0" distL="0" distR="0" wp14:anchorId="2ED92E7F" wp14:editId="5CD97F66">
          <wp:extent cx="850900" cy="829310"/>
          <wp:effectExtent l="0" t="0" r="0" b="0"/>
          <wp:docPr id="1" name="Billede 1" descr="IALA_LogoVerti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LA_LogoVerti_RGB-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82931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CCC" w:rsidRDefault="008A10AB" w:rsidP="002B023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4261500" o:spid="_x0000_s2049" type="#_x0000_t136" style="position:absolute;left:0;text-align:left;margin-left:0;margin-top:0;width:634.5pt;height:68.45pt;rotation:315;z-index:-251659776;mso-position-horizontal:center;mso-position-horizontal-relative:margin;mso-position-vertical:center;mso-position-vertical-relative:margin" o:allowincell="f" fillcolor="silver" stroked="f">
          <v:fill opacity=".5"/>
          <v:textpath style="font-family:&quot;Arial&quot;;font-size:1pt" string="IALA working documen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C71"/>
    <w:multiLevelType w:val="hybridMultilevel"/>
    <w:tmpl w:val="61E60816"/>
    <w:lvl w:ilvl="0" w:tplc="A156C9CC">
      <w:start w:val="1"/>
      <w:numFmt w:val="decimal"/>
      <w:pStyle w:val="Appendix"/>
      <w:lvlText w:val="APPENDIX %1"/>
      <w:lvlJc w:val="left"/>
      <w:pPr>
        <w:ind w:left="360" w:hanging="360"/>
      </w:pPr>
      <w:rPr>
        <w:rFonts w:ascii="Arial" w:hAnsi="Arial" w:hint="default"/>
        <w:b/>
        <w:i w:val="0"/>
        <w:sz w:val="24"/>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6B3A4E"/>
    <w:multiLevelType w:val="hybridMultilevel"/>
    <w:tmpl w:val="DE18D6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BC66F4"/>
    <w:multiLevelType w:val="hybridMultilevel"/>
    <w:tmpl w:val="0A0E3058"/>
    <w:lvl w:ilvl="0" w:tplc="D8F85F6A">
      <w:start w:val="1"/>
      <w:numFmt w:val="bullet"/>
      <w:pStyle w:val="Bullet2"/>
      <w:lvlText w:val=""/>
      <w:lvlJc w:val="left"/>
      <w:pPr>
        <w:tabs>
          <w:tab w:val="num" w:pos="1201"/>
        </w:tabs>
        <w:ind w:left="1734" w:hanging="534"/>
      </w:pPr>
      <w:rPr>
        <w:rFonts w:ascii="Wingdings" w:hAnsi="Wingdings" w:hint="default"/>
      </w:rPr>
    </w:lvl>
    <w:lvl w:ilvl="1" w:tplc="08090003" w:tentative="1">
      <w:start w:val="1"/>
      <w:numFmt w:val="bullet"/>
      <w:lvlText w:val="o"/>
      <w:lvlJc w:val="left"/>
      <w:pPr>
        <w:tabs>
          <w:tab w:val="num" w:pos="2040"/>
        </w:tabs>
        <w:ind w:left="2040" w:hanging="360"/>
      </w:pPr>
      <w:rPr>
        <w:rFonts w:ascii="Courier New" w:hAnsi="Courier New" w:cs="Courier New" w:hint="default"/>
      </w:rPr>
    </w:lvl>
    <w:lvl w:ilvl="2" w:tplc="08090005" w:tentative="1">
      <w:start w:val="1"/>
      <w:numFmt w:val="bullet"/>
      <w:lvlText w:val=""/>
      <w:lvlJc w:val="left"/>
      <w:pPr>
        <w:tabs>
          <w:tab w:val="num" w:pos="2760"/>
        </w:tabs>
        <w:ind w:left="2760" w:hanging="360"/>
      </w:pPr>
      <w:rPr>
        <w:rFonts w:ascii="Wingdings" w:hAnsi="Wingdings" w:hint="default"/>
      </w:rPr>
    </w:lvl>
    <w:lvl w:ilvl="3" w:tplc="08090001" w:tentative="1">
      <w:start w:val="1"/>
      <w:numFmt w:val="bullet"/>
      <w:lvlText w:val=""/>
      <w:lvlJc w:val="left"/>
      <w:pPr>
        <w:tabs>
          <w:tab w:val="num" w:pos="3480"/>
        </w:tabs>
        <w:ind w:left="3480" w:hanging="360"/>
      </w:pPr>
      <w:rPr>
        <w:rFonts w:ascii="Symbol" w:hAnsi="Symbol" w:hint="default"/>
      </w:rPr>
    </w:lvl>
    <w:lvl w:ilvl="4" w:tplc="08090003" w:tentative="1">
      <w:start w:val="1"/>
      <w:numFmt w:val="bullet"/>
      <w:lvlText w:val="o"/>
      <w:lvlJc w:val="left"/>
      <w:pPr>
        <w:tabs>
          <w:tab w:val="num" w:pos="4200"/>
        </w:tabs>
        <w:ind w:left="4200" w:hanging="360"/>
      </w:pPr>
      <w:rPr>
        <w:rFonts w:ascii="Courier New" w:hAnsi="Courier New" w:cs="Courier New" w:hint="default"/>
      </w:rPr>
    </w:lvl>
    <w:lvl w:ilvl="5" w:tplc="08090005" w:tentative="1">
      <w:start w:val="1"/>
      <w:numFmt w:val="bullet"/>
      <w:lvlText w:val=""/>
      <w:lvlJc w:val="left"/>
      <w:pPr>
        <w:tabs>
          <w:tab w:val="num" w:pos="4920"/>
        </w:tabs>
        <w:ind w:left="4920" w:hanging="360"/>
      </w:pPr>
      <w:rPr>
        <w:rFonts w:ascii="Wingdings" w:hAnsi="Wingdings" w:hint="default"/>
      </w:rPr>
    </w:lvl>
    <w:lvl w:ilvl="6" w:tplc="08090001" w:tentative="1">
      <w:start w:val="1"/>
      <w:numFmt w:val="bullet"/>
      <w:lvlText w:val=""/>
      <w:lvlJc w:val="left"/>
      <w:pPr>
        <w:tabs>
          <w:tab w:val="num" w:pos="5640"/>
        </w:tabs>
        <w:ind w:left="5640" w:hanging="360"/>
      </w:pPr>
      <w:rPr>
        <w:rFonts w:ascii="Symbol" w:hAnsi="Symbol" w:hint="default"/>
      </w:rPr>
    </w:lvl>
    <w:lvl w:ilvl="7" w:tplc="08090003" w:tentative="1">
      <w:start w:val="1"/>
      <w:numFmt w:val="bullet"/>
      <w:lvlText w:val="o"/>
      <w:lvlJc w:val="left"/>
      <w:pPr>
        <w:tabs>
          <w:tab w:val="num" w:pos="6360"/>
        </w:tabs>
        <w:ind w:left="6360" w:hanging="360"/>
      </w:pPr>
      <w:rPr>
        <w:rFonts w:ascii="Courier New" w:hAnsi="Courier New" w:cs="Courier New" w:hint="default"/>
      </w:rPr>
    </w:lvl>
    <w:lvl w:ilvl="8" w:tplc="08090005" w:tentative="1">
      <w:start w:val="1"/>
      <w:numFmt w:val="bullet"/>
      <w:lvlText w:val=""/>
      <w:lvlJc w:val="left"/>
      <w:pPr>
        <w:tabs>
          <w:tab w:val="num" w:pos="7080"/>
        </w:tabs>
        <w:ind w:left="7080" w:hanging="360"/>
      </w:pPr>
      <w:rPr>
        <w:rFonts w:ascii="Wingdings" w:hAnsi="Wingdings" w:hint="default"/>
      </w:rPr>
    </w:lvl>
  </w:abstractNum>
  <w:abstractNum w:abstractNumId="3">
    <w:nsid w:val="1017629E"/>
    <w:multiLevelType w:val="hybridMultilevel"/>
    <w:tmpl w:val="201C3504"/>
    <w:lvl w:ilvl="0" w:tplc="04060001">
      <w:start w:val="1"/>
      <w:numFmt w:val="bullet"/>
      <w:lvlText w:val=""/>
      <w:lvlJc w:val="left"/>
      <w:pPr>
        <w:ind w:left="1440" w:hanging="360"/>
      </w:pPr>
      <w:rPr>
        <w:rFonts w:ascii="Symbol" w:hAnsi="Symbol" w:hint="default"/>
      </w:rPr>
    </w:lvl>
    <w:lvl w:ilvl="1" w:tplc="04060003">
      <w:start w:val="1"/>
      <w:numFmt w:val="bullet"/>
      <w:lvlText w:val="o"/>
      <w:lvlJc w:val="left"/>
      <w:pPr>
        <w:ind w:left="2160" w:hanging="360"/>
      </w:pPr>
      <w:rPr>
        <w:rFonts w:ascii="Courier New" w:hAnsi="Courier New" w:cs="Courier New" w:hint="default"/>
      </w:rPr>
    </w:lvl>
    <w:lvl w:ilvl="2" w:tplc="04060005">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nsid w:val="13C75F1E"/>
    <w:multiLevelType w:val="hybridMultilevel"/>
    <w:tmpl w:val="74A8E6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9C37E91"/>
    <w:multiLevelType w:val="multilevel"/>
    <w:tmpl w:val="1E50472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E585084"/>
    <w:multiLevelType w:val="hybridMultilevel"/>
    <w:tmpl w:val="4516CE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6A37E1A"/>
    <w:multiLevelType w:val="hybridMultilevel"/>
    <w:tmpl w:val="C30E99B8"/>
    <w:lvl w:ilvl="0" w:tplc="F2403C1A">
      <w:start w:val="1"/>
      <w:numFmt w:val="lowerRoman"/>
      <w:lvlText w:val="(%1)"/>
      <w:lvlJc w:val="left"/>
      <w:pPr>
        <w:ind w:left="1854" w:hanging="360"/>
      </w:pPr>
      <w:rPr>
        <w:rFonts w:ascii="Arial" w:hAnsi="Arial" w:hint="default"/>
        <w:b w:val="0"/>
        <w:i w:val="0"/>
        <w:sz w:val="22"/>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
    <w:nsid w:val="26B77263"/>
    <w:multiLevelType w:val="hybridMultilevel"/>
    <w:tmpl w:val="33A6CC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nsid w:val="288B260F"/>
    <w:multiLevelType w:val="hybridMultilevel"/>
    <w:tmpl w:val="D3F05AB6"/>
    <w:lvl w:ilvl="0" w:tplc="67C67A80">
      <w:start w:val="1"/>
      <w:numFmt w:val="bullet"/>
      <w:pStyle w:val="Bullet3"/>
      <w:lvlText w:val=""/>
      <w:lvlJc w:val="left"/>
      <w:pPr>
        <w:ind w:left="2421" w:hanging="360"/>
      </w:pPr>
      <w:rPr>
        <w:rFonts w:ascii="Wingdings" w:hAnsi="Wingdings" w:hint="default"/>
        <w:b w:val="0"/>
        <w:i w:val="0"/>
        <w:sz w:val="22"/>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0">
    <w:nsid w:val="29D17002"/>
    <w:multiLevelType w:val="hybridMultilevel"/>
    <w:tmpl w:val="9172359A"/>
    <w:lvl w:ilvl="0" w:tplc="D6D411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D508F4"/>
    <w:multiLevelType w:val="multilevel"/>
    <w:tmpl w:val="A6F6A510"/>
    <w:lvl w:ilvl="0">
      <w:start w:val="1"/>
      <w:numFmt w:val="decimal"/>
      <w:pStyle w:val="List1"/>
      <w:lvlText w:val="%1"/>
      <w:lvlJc w:val="left"/>
      <w:pPr>
        <w:tabs>
          <w:tab w:val="num" w:pos="567"/>
        </w:tabs>
        <w:ind w:left="567" w:hanging="567"/>
      </w:pPr>
      <w:rPr>
        <w:rFonts w:ascii="Arial" w:hAnsi="Arial" w:cs="Times New Roman" w:hint="default"/>
        <w:b w:val="0"/>
        <w:i w:val="0"/>
        <w:iCs w:val="0"/>
        <w:caps/>
        <w:strike w:val="0"/>
        <w:dstrike w:val="0"/>
        <w:vanish w:val="0"/>
        <w:color w:val="000000"/>
        <w:spacing w:val="0"/>
        <w:kern w:val="0"/>
        <w:position w:val="0"/>
        <w:sz w:val="22"/>
        <w:u w:val="none"/>
        <w:vertAlign w:val="baseline"/>
        <w:em w:val="none"/>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righ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C5207BC"/>
    <w:multiLevelType w:val="hybridMultilevel"/>
    <w:tmpl w:val="F5BCB4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4E331B7"/>
    <w:multiLevelType w:val="hybridMultilevel"/>
    <w:tmpl w:val="D0AC09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6301AE"/>
    <w:multiLevelType w:val="multilevel"/>
    <w:tmpl w:val="F202BAF8"/>
    <w:lvl w:ilvl="0">
      <w:start w:val="1"/>
      <w:numFmt w:val="decimal"/>
      <w:pStyle w:val="AppendixHeading1"/>
      <w:lvlText w:val="%1"/>
      <w:lvlJc w:val="left"/>
      <w:pPr>
        <w:tabs>
          <w:tab w:val="num" w:pos="567"/>
        </w:tabs>
        <w:ind w:left="567" w:hanging="567"/>
      </w:pPr>
      <w:rPr>
        <w:rFonts w:ascii="Arial" w:hAnsi="Arial" w:hint="default"/>
        <w:b/>
        <w:i w:val="0"/>
        <w:sz w:val="24"/>
      </w:rPr>
    </w:lvl>
    <w:lvl w:ilvl="1">
      <w:start w:val="1"/>
      <w:numFmt w:val="decimal"/>
      <w:pStyle w:val="AppendixHeading2"/>
      <w:lvlText w:val="%1.%2"/>
      <w:lvlJc w:val="left"/>
      <w:pPr>
        <w:tabs>
          <w:tab w:val="num" w:pos="851"/>
        </w:tabs>
        <w:ind w:left="851" w:hanging="851"/>
      </w:pPr>
      <w:rPr>
        <w:rFonts w:ascii="Arial" w:hAnsi="Arial" w:hint="default"/>
        <w:b/>
        <w:i w:val="0"/>
        <w:sz w:val="22"/>
      </w:rPr>
    </w:lvl>
    <w:lvl w:ilvl="2">
      <w:start w:val="1"/>
      <w:numFmt w:val="decimal"/>
      <w:pStyle w:val="AppendixHeading3"/>
      <w:lvlText w:val="%1.%2.%3"/>
      <w:lvlJc w:val="left"/>
      <w:pPr>
        <w:tabs>
          <w:tab w:val="num" w:pos="992"/>
        </w:tabs>
        <w:ind w:left="992" w:hanging="992"/>
      </w:pPr>
      <w:rPr>
        <w:rFonts w:ascii="Arial" w:hAnsi="Arial" w:hint="default"/>
        <w:b w:val="0"/>
        <w:i w:val="0"/>
        <w:sz w:val="22"/>
      </w:rPr>
    </w:lvl>
    <w:lvl w:ilvl="3">
      <w:start w:val="1"/>
      <w:numFmt w:val="decimal"/>
      <w:lvlText w:val="%1.%2.%3.%4"/>
      <w:lvlJc w:val="left"/>
      <w:pPr>
        <w:tabs>
          <w:tab w:val="num" w:pos="1134"/>
        </w:tabs>
        <w:ind w:left="1134" w:hanging="1134"/>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5E80D98"/>
    <w:multiLevelType w:val="hybridMultilevel"/>
    <w:tmpl w:val="78061A9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nsid w:val="4BC63137"/>
    <w:multiLevelType w:val="hybridMultilevel"/>
    <w:tmpl w:val="85101A52"/>
    <w:lvl w:ilvl="0" w:tplc="0CD245A2">
      <w:start w:val="1"/>
      <w:numFmt w:val="bullet"/>
      <w:pStyle w:val="Bullet1"/>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5073122E"/>
    <w:multiLevelType w:val="hybridMultilevel"/>
    <w:tmpl w:val="3500BB4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5B72679C"/>
    <w:multiLevelType w:val="multilevel"/>
    <w:tmpl w:val="F4D65F2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0585238"/>
    <w:multiLevelType w:val="multilevel"/>
    <w:tmpl w:val="C92C422E"/>
    <w:lvl w:ilvl="0">
      <w:start w:val="1"/>
      <w:numFmt w:val="upperLetter"/>
      <w:pStyle w:val="Annex"/>
      <w:lvlText w:val="ANNEX %1."/>
      <w:lvlJc w:val="left"/>
      <w:pPr>
        <w:ind w:left="360" w:hanging="360"/>
      </w:pPr>
      <w:rPr>
        <w:rFonts w:ascii="Arial" w:hAnsi="Arial"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22">
    <w:nsid w:val="642E0365"/>
    <w:multiLevelType w:val="hybridMultilevel"/>
    <w:tmpl w:val="3C82AC7E"/>
    <w:lvl w:ilvl="0" w:tplc="37E22AA4">
      <w:start w:val="1"/>
      <w:numFmt w:val="decimal"/>
      <w:pStyle w:val="StyleTableofFiguresJustifiedAfter6pt"/>
      <w:lvlText w:val="%1"/>
      <w:lvlJc w:val="left"/>
      <w:pPr>
        <w:ind w:left="360" w:hanging="360"/>
      </w:pPr>
      <w:rPr>
        <w:rFonts w:ascii="Arial" w:hAnsi="Arial" w:hint="default"/>
        <w:b w:val="0"/>
        <w:i w:val="0"/>
        <w:sz w:val="22"/>
      </w:rPr>
    </w:lvl>
    <w:lvl w:ilvl="1" w:tplc="50264838" w:tentative="1">
      <w:start w:val="1"/>
      <w:numFmt w:val="lowerLetter"/>
      <w:lvlText w:val="%2."/>
      <w:lvlJc w:val="left"/>
      <w:pPr>
        <w:ind w:left="1440" w:hanging="360"/>
      </w:pPr>
    </w:lvl>
    <w:lvl w:ilvl="2" w:tplc="22021022" w:tentative="1">
      <w:start w:val="1"/>
      <w:numFmt w:val="lowerRoman"/>
      <w:lvlText w:val="%3."/>
      <w:lvlJc w:val="right"/>
      <w:pPr>
        <w:ind w:left="2160" w:hanging="180"/>
      </w:pPr>
    </w:lvl>
    <w:lvl w:ilvl="3" w:tplc="3CDE93D6" w:tentative="1">
      <w:start w:val="1"/>
      <w:numFmt w:val="decimal"/>
      <w:lvlText w:val="%4."/>
      <w:lvlJc w:val="left"/>
      <w:pPr>
        <w:ind w:left="2880" w:hanging="360"/>
      </w:pPr>
    </w:lvl>
    <w:lvl w:ilvl="4" w:tplc="066A54C6" w:tentative="1">
      <w:start w:val="1"/>
      <w:numFmt w:val="lowerLetter"/>
      <w:lvlText w:val="%5."/>
      <w:lvlJc w:val="left"/>
      <w:pPr>
        <w:ind w:left="3600" w:hanging="360"/>
      </w:pPr>
    </w:lvl>
    <w:lvl w:ilvl="5" w:tplc="86A872E6" w:tentative="1">
      <w:start w:val="1"/>
      <w:numFmt w:val="lowerRoman"/>
      <w:lvlText w:val="%6."/>
      <w:lvlJc w:val="right"/>
      <w:pPr>
        <w:ind w:left="4320" w:hanging="180"/>
      </w:pPr>
    </w:lvl>
    <w:lvl w:ilvl="6" w:tplc="3DC8899A" w:tentative="1">
      <w:start w:val="1"/>
      <w:numFmt w:val="decimal"/>
      <w:lvlText w:val="%7."/>
      <w:lvlJc w:val="left"/>
      <w:pPr>
        <w:ind w:left="5040" w:hanging="360"/>
      </w:pPr>
    </w:lvl>
    <w:lvl w:ilvl="7" w:tplc="6FA81CE2" w:tentative="1">
      <w:start w:val="1"/>
      <w:numFmt w:val="lowerLetter"/>
      <w:lvlText w:val="%8."/>
      <w:lvlJc w:val="left"/>
      <w:pPr>
        <w:ind w:left="5760" w:hanging="360"/>
      </w:pPr>
    </w:lvl>
    <w:lvl w:ilvl="8" w:tplc="8E52679A" w:tentative="1">
      <w:start w:val="1"/>
      <w:numFmt w:val="lowerRoman"/>
      <w:lvlText w:val="%9."/>
      <w:lvlJc w:val="right"/>
      <w:pPr>
        <w:ind w:left="6480" w:hanging="180"/>
      </w:pPr>
    </w:lvl>
  </w:abstractNum>
  <w:abstractNum w:abstractNumId="23">
    <w:nsid w:val="69A76C50"/>
    <w:multiLevelType w:val="hybridMultilevel"/>
    <w:tmpl w:val="32F07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79260A56"/>
    <w:multiLevelType w:val="multilevel"/>
    <w:tmpl w:val="3228A17C"/>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1134"/>
        </w:tabs>
        <w:ind w:left="1134" w:hanging="567"/>
      </w:pPr>
      <w:rPr>
        <w:rFonts w:ascii="Arial" w:hAnsi="Arial" w:hint="default"/>
        <w:b w:val="0"/>
        <w:i w:val="0"/>
        <w:sz w:val="22"/>
        <w:szCs w:val="22"/>
      </w:rPr>
    </w:lvl>
    <w:lvl w:ilvl="2">
      <w:start w:val="1"/>
      <w:numFmt w:val="lowerRoman"/>
      <w:lvlText w:val="(%3)"/>
      <w:lvlJc w:val="left"/>
      <w:pPr>
        <w:tabs>
          <w:tab w:val="num" w:pos="1701"/>
        </w:tabs>
        <w:ind w:left="1701" w:hanging="567"/>
      </w:pPr>
      <w:rPr>
        <w:rFonts w:ascii="Arial" w:hAnsi="Arial" w:hint="default"/>
        <w:b w:val="0"/>
        <w:i w:val="0"/>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7ABF45F8"/>
    <w:multiLevelType w:val="hybridMultilevel"/>
    <w:tmpl w:val="EA58D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9"/>
  </w:num>
  <w:num w:numId="2">
    <w:abstractNumId w:val="25"/>
  </w:num>
  <w:num w:numId="3">
    <w:abstractNumId w:val="19"/>
  </w:num>
  <w:num w:numId="4">
    <w:abstractNumId w:val="19"/>
  </w:num>
  <w:num w:numId="5">
    <w:abstractNumId w:val="10"/>
  </w:num>
  <w:num w:numId="6">
    <w:abstractNumId w:val="20"/>
  </w:num>
  <w:num w:numId="7">
    <w:abstractNumId w:val="16"/>
  </w:num>
  <w:num w:numId="8">
    <w:abstractNumId w:val="2"/>
  </w:num>
  <w:num w:numId="9">
    <w:abstractNumId w:val="9"/>
  </w:num>
  <w:num w:numId="10">
    <w:abstractNumId w:val="21"/>
  </w:num>
  <w:num w:numId="11">
    <w:abstractNumId w:val="5"/>
  </w:num>
  <w:num w:numId="12">
    <w:abstractNumId w:val="5"/>
  </w:num>
  <w:num w:numId="13">
    <w:abstractNumId w:val="5"/>
  </w:num>
  <w:num w:numId="14">
    <w:abstractNumId w:val="5"/>
  </w:num>
  <w:num w:numId="15">
    <w:abstractNumId w:val="5"/>
  </w:num>
  <w:num w:numId="16">
    <w:abstractNumId w:val="11"/>
  </w:num>
  <w:num w:numId="17">
    <w:abstractNumId w:val="24"/>
  </w:num>
  <w:num w:numId="18">
    <w:abstractNumId w:val="7"/>
  </w:num>
  <w:num w:numId="19">
    <w:abstractNumId w:val="22"/>
  </w:num>
  <w:num w:numId="20">
    <w:abstractNumId w:val="18"/>
  </w:num>
  <w:num w:numId="21">
    <w:abstractNumId w:val="11"/>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7"/>
  </w:num>
  <w:num w:numId="26">
    <w:abstractNumId w:val="4"/>
  </w:num>
  <w:num w:numId="27">
    <w:abstractNumId w:val="6"/>
  </w:num>
  <w:num w:numId="28">
    <w:abstractNumId w:val="1"/>
  </w:num>
  <w:num w:numId="29">
    <w:abstractNumId w:val="8"/>
  </w:num>
  <w:num w:numId="30">
    <w:abstractNumId w:val="15"/>
  </w:num>
  <w:num w:numId="31">
    <w:abstractNumId w:val="23"/>
  </w:num>
  <w:num w:numId="32">
    <w:abstractNumId w:val="0"/>
  </w:num>
  <w:num w:numId="33">
    <w:abstractNumId w:val="14"/>
  </w:num>
  <w:num w:numId="34">
    <w:abstractNumId w:val="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A45"/>
    <w:rsid w:val="00002906"/>
    <w:rsid w:val="00031A92"/>
    <w:rsid w:val="000348ED"/>
    <w:rsid w:val="00036801"/>
    <w:rsid w:val="00050DA7"/>
    <w:rsid w:val="00085BFD"/>
    <w:rsid w:val="0008687F"/>
    <w:rsid w:val="000A5A01"/>
    <w:rsid w:val="000E1EC4"/>
    <w:rsid w:val="00135447"/>
    <w:rsid w:val="001419ED"/>
    <w:rsid w:val="0014648E"/>
    <w:rsid w:val="00152273"/>
    <w:rsid w:val="001A654A"/>
    <w:rsid w:val="001C74CF"/>
    <w:rsid w:val="001E2E39"/>
    <w:rsid w:val="00202FAB"/>
    <w:rsid w:val="002361BB"/>
    <w:rsid w:val="002572B9"/>
    <w:rsid w:val="00277D2C"/>
    <w:rsid w:val="00282895"/>
    <w:rsid w:val="00283E96"/>
    <w:rsid w:val="0029792E"/>
    <w:rsid w:val="002B0236"/>
    <w:rsid w:val="00317444"/>
    <w:rsid w:val="003318E5"/>
    <w:rsid w:val="00341E60"/>
    <w:rsid w:val="00344736"/>
    <w:rsid w:val="00386D08"/>
    <w:rsid w:val="003D55DD"/>
    <w:rsid w:val="003E1831"/>
    <w:rsid w:val="003F5877"/>
    <w:rsid w:val="00423F7B"/>
    <w:rsid w:val="00424954"/>
    <w:rsid w:val="004743B2"/>
    <w:rsid w:val="004C1386"/>
    <w:rsid w:val="004C220D"/>
    <w:rsid w:val="00566FA5"/>
    <w:rsid w:val="005971E0"/>
    <w:rsid w:val="005D05AC"/>
    <w:rsid w:val="005D7AB8"/>
    <w:rsid w:val="005E285E"/>
    <w:rsid w:val="00606A65"/>
    <w:rsid w:val="00630F7F"/>
    <w:rsid w:val="00635EB4"/>
    <w:rsid w:val="0064435F"/>
    <w:rsid w:val="006B7174"/>
    <w:rsid w:val="006C70FF"/>
    <w:rsid w:val="006D470F"/>
    <w:rsid w:val="006F29B1"/>
    <w:rsid w:val="00727E88"/>
    <w:rsid w:val="007336FB"/>
    <w:rsid w:val="007670B5"/>
    <w:rsid w:val="00773775"/>
    <w:rsid w:val="00775878"/>
    <w:rsid w:val="00775B3C"/>
    <w:rsid w:val="007821E7"/>
    <w:rsid w:val="007C0E97"/>
    <w:rsid w:val="007C19C9"/>
    <w:rsid w:val="0080092C"/>
    <w:rsid w:val="00804C4C"/>
    <w:rsid w:val="00861511"/>
    <w:rsid w:val="00872453"/>
    <w:rsid w:val="00887D8B"/>
    <w:rsid w:val="008A10AB"/>
    <w:rsid w:val="008E2DE5"/>
    <w:rsid w:val="008E7A45"/>
    <w:rsid w:val="008F13DD"/>
    <w:rsid w:val="00902AA4"/>
    <w:rsid w:val="00906239"/>
    <w:rsid w:val="00927DA0"/>
    <w:rsid w:val="00960781"/>
    <w:rsid w:val="00982F25"/>
    <w:rsid w:val="009B2EFE"/>
    <w:rsid w:val="009F3B6C"/>
    <w:rsid w:val="009F5C36"/>
    <w:rsid w:val="00A11400"/>
    <w:rsid w:val="00A27F12"/>
    <w:rsid w:val="00A30579"/>
    <w:rsid w:val="00AA2626"/>
    <w:rsid w:val="00AA76C0"/>
    <w:rsid w:val="00B077EC"/>
    <w:rsid w:val="00B15B24"/>
    <w:rsid w:val="00B22DFE"/>
    <w:rsid w:val="00B428DA"/>
    <w:rsid w:val="00B8247E"/>
    <w:rsid w:val="00BE37A2"/>
    <w:rsid w:val="00BE56DF"/>
    <w:rsid w:val="00BF0548"/>
    <w:rsid w:val="00BF21B2"/>
    <w:rsid w:val="00C217D1"/>
    <w:rsid w:val="00C416E8"/>
    <w:rsid w:val="00C437AA"/>
    <w:rsid w:val="00C60405"/>
    <w:rsid w:val="00CA04AF"/>
    <w:rsid w:val="00CA21C3"/>
    <w:rsid w:val="00CF5D7A"/>
    <w:rsid w:val="00D1546D"/>
    <w:rsid w:val="00D5029D"/>
    <w:rsid w:val="00D66F78"/>
    <w:rsid w:val="00D76CC9"/>
    <w:rsid w:val="00D9199C"/>
    <w:rsid w:val="00E0006F"/>
    <w:rsid w:val="00E17762"/>
    <w:rsid w:val="00E3024E"/>
    <w:rsid w:val="00E5720C"/>
    <w:rsid w:val="00E729A7"/>
    <w:rsid w:val="00E93C9B"/>
    <w:rsid w:val="00EC0F06"/>
    <w:rsid w:val="00EC2EEF"/>
    <w:rsid w:val="00ED10D9"/>
    <w:rsid w:val="00EE3F2F"/>
    <w:rsid w:val="00EF47C3"/>
    <w:rsid w:val="00F12CCC"/>
    <w:rsid w:val="00F549AC"/>
    <w:rsid w:val="00F640CD"/>
    <w:rsid w:val="00F73F78"/>
    <w:rsid w:val="00FA5842"/>
    <w:rsid w:val="00FA6769"/>
    <w:rsid w:val="00FD03CA"/>
    <w:rsid w:val="00FE4B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6" w:qFormat="1"/>
    <w:lsdException w:name="footnote text" w:uiPriority="99"/>
    <w:lsdException w:name="caption" w:semiHidden="1" w:unhideWhenUsed="1" w:qFormat="1"/>
    <w:lsdException w:name="table of figures" w:uiPriority="99"/>
    <w:lsdException w:name="footnote reference" w:uiPriority="99"/>
    <w:lsdException w:name="Title" w:qFormat="1"/>
    <w:lsdException w:name="Body Text" w:qFormat="1"/>
    <w:lsdException w:name="Subtitle"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0236"/>
    <w:pPr>
      <w:tabs>
        <w:tab w:val="left" w:pos="851"/>
      </w:tabs>
    </w:pPr>
    <w:rPr>
      <w:rFonts w:ascii="Calibri" w:hAnsi="Calibri"/>
      <w:sz w:val="22"/>
      <w:lang w:val="en-GB" w:eastAsia="en-US"/>
    </w:rPr>
  </w:style>
  <w:style w:type="paragraph" w:styleId="Heading1">
    <w:name w:val="heading 1"/>
    <w:basedOn w:val="Normal"/>
    <w:next w:val="Normal"/>
    <w:qFormat/>
    <w:rsid w:val="00AA2626"/>
    <w:pPr>
      <w:keepNext/>
      <w:numPr>
        <w:numId w:val="15"/>
      </w:numPr>
      <w:tabs>
        <w:tab w:val="clear" w:pos="432"/>
        <w:tab w:val="left" w:pos="567"/>
      </w:tabs>
      <w:spacing w:before="240" w:after="240"/>
      <w:ind w:left="567" w:hanging="567"/>
      <w:outlineLvl w:val="0"/>
    </w:pPr>
    <w:rPr>
      <w:rFonts w:eastAsia="MS Mincho"/>
      <w:b/>
      <w:color w:val="2E74B5"/>
      <w:kern w:val="28"/>
      <w:sz w:val="24"/>
      <w:szCs w:val="24"/>
      <w:lang w:eastAsia="de-DE"/>
    </w:rPr>
  </w:style>
  <w:style w:type="paragraph" w:styleId="Heading2">
    <w:name w:val="heading 2"/>
    <w:basedOn w:val="Heading1"/>
    <w:next w:val="Normal"/>
    <w:qFormat/>
    <w:rsid w:val="00135447"/>
    <w:pPr>
      <w:numPr>
        <w:ilvl w:val="1"/>
      </w:numPr>
      <w:tabs>
        <w:tab w:val="clear" w:pos="576"/>
      </w:tabs>
      <w:ind w:left="851" w:hanging="851"/>
      <w:jc w:val="both"/>
      <w:outlineLvl w:val="1"/>
    </w:pPr>
  </w:style>
  <w:style w:type="paragraph" w:styleId="Heading3">
    <w:name w:val="heading 3"/>
    <w:basedOn w:val="Normal"/>
    <w:next w:val="Normal"/>
    <w:autoRedefine/>
    <w:qFormat/>
    <w:rsid w:val="00135447"/>
    <w:pPr>
      <w:keepNext/>
      <w:numPr>
        <w:ilvl w:val="2"/>
        <w:numId w:val="15"/>
      </w:numPr>
      <w:tabs>
        <w:tab w:val="clear" w:pos="720"/>
      </w:tabs>
      <w:spacing w:before="120" w:after="120"/>
      <w:ind w:left="851" w:hanging="851"/>
      <w:jc w:val="both"/>
      <w:outlineLvl w:val="2"/>
    </w:pPr>
    <w:rPr>
      <w:iCs/>
      <w:lang w:val="fr-FR" w:eastAsia="en-GB"/>
    </w:rPr>
  </w:style>
  <w:style w:type="paragraph" w:styleId="Heading4">
    <w:name w:val="heading 4"/>
    <w:basedOn w:val="Normal"/>
    <w:next w:val="Normal"/>
    <w:rsid w:val="00135447"/>
    <w:pPr>
      <w:keepNext/>
      <w:widowControl w:val="0"/>
      <w:numPr>
        <w:ilvl w:val="3"/>
        <w:numId w:val="15"/>
      </w:numPr>
      <w:tabs>
        <w:tab w:val="clear" w:pos="864"/>
        <w:tab w:val="left" w:pos="1134"/>
      </w:tabs>
      <w:spacing w:before="120" w:after="120"/>
      <w:ind w:left="1134" w:hanging="1134"/>
      <w:outlineLvl w:val="3"/>
    </w:pPr>
    <w:rPr>
      <w:bCs/>
      <w:snapToGrid w:val="0"/>
      <w:szCs w:val="28"/>
      <w:lang w:val="fr-FR" w:eastAsia="fr-FR"/>
    </w:rPr>
  </w:style>
  <w:style w:type="paragraph" w:styleId="Heading5">
    <w:name w:val="heading 5"/>
    <w:basedOn w:val="Normal"/>
    <w:next w:val="Normal"/>
    <w:rsid w:val="00135447"/>
    <w:pPr>
      <w:numPr>
        <w:ilvl w:val="4"/>
        <w:numId w:val="1"/>
      </w:numPr>
      <w:tabs>
        <w:tab w:val="clear" w:pos="1008"/>
        <w:tab w:val="left" w:pos="1134"/>
      </w:tabs>
      <w:spacing w:before="120" w:after="60"/>
      <w:ind w:left="1134" w:hanging="1134"/>
      <w:outlineLvl w:val="4"/>
    </w:pPr>
    <w:rPr>
      <w:bCs/>
      <w:iCs/>
      <w:sz w:val="20"/>
      <w:szCs w:val="26"/>
    </w:rPr>
  </w:style>
  <w:style w:type="paragraph" w:styleId="Heading6">
    <w:name w:val="heading 6"/>
    <w:basedOn w:val="Normal"/>
    <w:next w:val="Normal"/>
    <w:unhideWhenUsed/>
    <w:qFormat/>
    <w:rsid w:val="005D05AC"/>
    <w:pPr>
      <w:numPr>
        <w:ilvl w:val="5"/>
        <w:numId w:val="15"/>
      </w:numPr>
      <w:spacing w:before="240" w:after="60"/>
      <w:outlineLvl w:val="5"/>
    </w:pPr>
    <w:rPr>
      <w:rFonts w:cs="Arial"/>
      <w:b/>
      <w:bCs/>
      <w:lang w:val="fr-FR" w:eastAsia="en-GB"/>
    </w:rPr>
  </w:style>
  <w:style w:type="paragraph" w:styleId="Heading7">
    <w:name w:val="heading 7"/>
    <w:basedOn w:val="Normal"/>
    <w:next w:val="Normal"/>
    <w:rsid w:val="000348ED"/>
    <w:pPr>
      <w:numPr>
        <w:ilvl w:val="6"/>
        <w:numId w:val="1"/>
      </w:numPr>
      <w:spacing w:before="240" w:after="60"/>
      <w:outlineLvl w:val="6"/>
    </w:pPr>
  </w:style>
  <w:style w:type="paragraph" w:styleId="Heading8">
    <w:name w:val="heading 8"/>
    <w:basedOn w:val="Normal"/>
    <w:next w:val="Normal"/>
    <w:rsid w:val="000348ED"/>
    <w:pPr>
      <w:numPr>
        <w:ilvl w:val="7"/>
        <w:numId w:val="1"/>
      </w:numPr>
      <w:spacing w:before="240" w:after="60"/>
      <w:outlineLvl w:val="7"/>
    </w:pPr>
    <w:rPr>
      <w:i/>
      <w:iCs/>
    </w:rPr>
  </w:style>
  <w:style w:type="paragraph" w:styleId="Heading9">
    <w:name w:val="heading 9"/>
    <w:basedOn w:val="Normal"/>
    <w:next w:val="Normal"/>
    <w:rsid w:val="000348E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A2626"/>
    <w:pPr>
      <w:spacing w:before="480" w:after="120"/>
      <w:jc w:val="center"/>
      <w:outlineLvl w:val="0"/>
    </w:pPr>
    <w:rPr>
      <w:rFonts w:cs="Arial"/>
      <w:b/>
      <w:bCs/>
      <w:color w:val="2E74B5"/>
      <w:kern w:val="28"/>
      <w:sz w:val="32"/>
      <w:szCs w:val="32"/>
    </w:rPr>
  </w:style>
  <w:style w:type="paragraph" w:styleId="BodyText">
    <w:name w:val="Body Text"/>
    <w:basedOn w:val="Normal"/>
    <w:link w:val="BodyTextChar"/>
    <w:qFormat/>
    <w:rsid w:val="00AA2626"/>
    <w:pPr>
      <w:spacing w:after="120"/>
      <w:jc w:val="both"/>
    </w:pPr>
    <w:rPr>
      <w:rFonts w:eastAsia="Calibri" w:cs="Calibri"/>
      <w:szCs w:val="22"/>
      <w:lang w:eastAsia="en-GB"/>
    </w:rPr>
  </w:style>
  <w:style w:type="paragraph" w:customStyle="1" w:styleId="Annex">
    <w:name w:val="Annex"/>
    <w:basedOn w:val="Heading1"/>
    <w:next w:val="Normal"/>
    <w:qFormat/>
    <w:rsid w:val="005D05AC"/>
    <w:pPr>
      <w:numPr>
        <w:numId w:val="6"/>
      </w:numPr>
      <w:tabs>
        <w:tab w:val="left" w:pos="1701"/>
      </w:tabs>
    </w:pPr>
    <w:rPr>
      <w:bCs/>
      <w:snapToGrid w:val="0"/>
    </w:rPr>
  </w:style>
  <w:style w:type="paragraph" w:customStyle="1" w:styleId="Bullet1">
    <w:name w:val="Bullet 1"/>
    <w:basedOn w:val="Normal"/>
    <w:qFormat/>
    <w:rsid w:val="00AA2626"/>
    <w:pPr>
      <w:numPr>
        <w:numId w:val="7"/>
      </w:numPr>
      <w:tabs>
        <w:tab w:val="clear" w:pos="720"/>
        <w:tab w:val="left" w:pos="1134"/>
      </w:tabs>
      <w:spacing w:after="120"/>
      <w:ind w:left="1134" w:hanging="567"/>
      <w:jc w:val="both"/>
      <w:outlineLvl w:val="0"/>
    </w:pPr>
    <w:rPr>
      <w:rFonts w:eastAsia="Times"/>
      <w:lang w:eastAsia="en-GB"/>
    </w:rPr>
  </w:style>
  <w:style w:type="paragraph" w:customStyle="1" w:styleId="Bullet1text">
    <w:name w:val="Bullet 1 text"/>
    <w:basedOn w:val="Normal"/>
    <w:rsid w:val="00E93C9B"/>
    <w:pPr>
      <w:suppressAutoHyphens/>
      <w:spacing w:after="120"/>
      <w:ind w:left="1134"/>
      <w:jc w:val="both"/>
    </w:pPr>
    <w:rPr>
      <w:lang w:val="fr-FR" w:eastAsia="en-GB"/>
    </w:rPr>
  </w:style>
  <w:style w:type="paragraph" w:customStyle="1" w:styleId="Bullet2">
    <w:name w:val="Bullet 2"/>
    <w:basedOn w:val="Normal"/>
    <w:rsid w:val="00E93C9B"/>
    <w:pPr>
      <w:numPr>
        <w:numId w:val="8"/>
      </w:numPr>
      <w:tabs>
        <w:tab w:val="clear" w:pos="1201"/>
        <w:tab w:val="left" w:pos="1701"/>
      </w:tabs>
      <w:spacing w:after="120"/>
      <w:ind w:left="1701" w:hanging="567"/>
      <w:jc w:val="both"/>
    </w:pPr>
    <w:rPr>
      <w:lang w:val="fr-FR" w:eastAsia="en-GB"/>
    </w:rPr>
  </w:style>
  <w:style w:type="paragraph" w:customStyle="1" w:styleId="Bullet2text">
    <w:name w:val="Bullet 2 text"/>
    <w:basedOn w:val="Normal"/>
    <w:rsid w:val="00E93C9B"/>
    <w:pPr>
      <w:suppressAutoHyphens/>
      <w:spacing w:after="120"/>
      <w:ind w:left="1701"/>
      <w:jc w:val="both"/>
    </w:pPr>
    <w:rPr>
      <w:lang w:val="fr-FR" w:eastAsia="en-GB"/>
    </w:rPr>
  </w:style>
  <w:style w:type="paragraph" w:customStyle="1" w:styleId="Bullet3">
    <w:name w:val="Bullet 3"/>
    <w:basedOn w:val="Normal"/>
    <w:rsid w:val="00E93C9B"/>
    <w:pPr>
      <w:numPr>
        <w:numId w:val="9"/>
      </w:numPr>
      <w:tabs>
        <w:tab w:val="left" w:pos="2268"/>
      </w:tabs>
      <w:spacing w:after="60"/>
      <w:ind w:left="2268" w:hanging="567"/>
      <w:jc w:val="both"/>
    </w:pPr>
    <w:rPr>
      <w:sz w:val="20"/>
      <w:lang w:val="fr-FR" w:eastAsia="en-GB"/>
    </w:rPr>
  </w:style>
  <w:style w:type="paragraph" w:customStyle="1" w:styleId="Bullet3text">
    <w:name w:val="Bullet 3 text"/>
    <w:basedOn w:val="Normal"/>
    <w:rsid w:val="00E93C9B"/>
    <w:pPr>
      <w:suppressAutoHyphens/>
      <w:spacing w:after="60"/>
      <w:ind w:left="2268"/>
    </w:pPr>
    <w:rPr>
      <w:sz w:val="20"/>
      <w:lang w:val="fr-FR" w:eastAsia="en-GB"/>
    </w:rPr>
  </w:style>
  <w:style w:type="paragraph" w:customStyle="1" w:styleId="Figure">
    <w:name w:val="Figure_#"/>
    <w:basedOn w:val="Normal"/>
    <w:next w:val="Normal"/>
    <w:qFormat/>
    <w:rsid w:val="005D05AC"/>
    <w:pPr>
      <w:numPr>
        <w:numId w:val="10"/>
      </w:numPr>
      <w:jc w:val="center"/>
    </w:pPr>
    <w:rPr>
      <w:i/>
      <w:lang w:val="fr-FR" w:eastAsia="en-GB"/>
    </w:rPr>
  </w:style>
  <w:style w:type="paragraph" w:styleId="Footer">
    <w:name w:val="footer"/>
    <w:basedOn w:val="Normal"/>
    <w:link w:val="FooterChar"/>
    <w:rsid w:val="005D05AC"/>
    <w:pPr>
      <w:tabs>
        <w:tab w:val="center" w:pos="4820"/>
        <w:tab w:val="right" w:pos="9639"/>
      </w:tabs>
    </w:pPr>
    <w:rPr>
      <w:rFonts w:eastAsia="MS Mincho" w:cs="Arial"/>
      <w:lang w:val="fr-FR" w:eastAsia="ja-JP"/>
    </w:rPr>
  </w:style>
  <w:style w:type="character" w:customStyle="1" w:styleId="FooterChar">
    <w:name w:val="Footer Char"/>
    <w:link w:val="Footer"/>
    <w:rsid w:val="005D05AC"/>
    <w:rPr>
      <w:rFonts w:ascii="Arial" w:eastAsia="MS Mincho" w:hAnsi="Arial" w:cs="Arial"/>
      <w:sz w:val="22"/>
      <w:szCs w:val="24"/>
      <w:lang w:val="fr-FR" w:eastAsia="ja-JP"/>
    </w:rPr>
  </w:style>
  <w:style w:type="paragraph" w:styleId="Header">
    <w:name w:val="header"/>
    <w:basedOn w:val="Normal"/>
    <w:link w:val="HeaderChar"/>
    <w:rsid w:val="005D05AC"/>
    <w:pPr>
      <w:tabs>
        <w:tab w:val="center" w:pos="4820"/>
        <w:tab w:val="right" w:pos="9639"/>
      </w:tabs>
      <w:jc w:val="right"/>
    </w:pPr>
    <w:rPr>
      <w:rFonts w:eastAsia="MS Mincho"/>
      <w:sz w:val="20"/>
      <w:lang w:val="fr-FR" w:eastAsia="ja-JP"/>
    </w:rPr>
  </w:style>
  <w:style w:type="character" w:customStyle="1" w:styleId="HeaderChar">
    <w:name w:val="Header Char"/>
    <w:link w:val="Header"/>
    <w:rsid w:val="005D05AC"/>
    <w:rPr>
      <w:rFonts w:ascii="Arial" w:eastAsia="MS Mincho" w:hAnsi="Arial"/>
      <w:lang w:val="fr-FR" w:eastAsia="ja-JP"/>
    </w:rPr>
  </w:style>
  <w:style w:type="paragraph" w:customStyle="1" w:styleId="List1">
    <w:name w:val="List 1"/>
    <w:basedOn w:val="Normal"/>
    <w:qFormat/>
    <w:rsid w:val="00AA2626"/>
    <w:pPr>
      <w:numPr>
        <w:numId w:val="22"/>
      </w:numPr>
      <w:spacing w:after="120"/>
      <w:jc w:val="both"/>
    </w:pPr>
    <w:rPr>
      <w:lang w:val="fr-FR" w:eastAsia="en-GB"/>
    </w:rPr>
  </w:style>
  <w:style w:type="paragraph" w:customStyle="1" w:styleId="List1indent1">
    <w:name w:val="List 1 indent 1"/>
    <w:basedOn w:val="Normal"/>
    <w:rsid w:val="00E93C9B"/>
    <w:pPr>
      <w:numPr>
        <w:ilvl w:val="1"/>
        <w:numId w:val="22"/>
      </w:numPr>
      <w:spacing w:after="120"/>
      <w:jc w:val="both"/>
    </w:pPr>
    <w:rPr>
      <w:lang w:val="fr-FR" w:eastAsia="en-GB"/>
    </w:rPr>
  </w:style>
  <w:style w:type="paragraph" w:customStyle="1" w:styleId="List1indent1text">
    <w:name w:val="List 1 indent 1 text"/>
    <w:basedOn w:val="Normal"/>
    <w:rsid w:val="00E93C9B"/>
    <w:pPr>
      <w:spacing w:after="120"/>
      <w:ind w:left="1134"/>
      <w:jc w:val="both"/>
    </w:pPr>
    <w:rPr>
      <w:lang w:val="fr-FR" w:eastAsia="fr-FR"/>
    </w:rPr>
  </w:style>
  <w:style w:type="paragraph" w:customStyle="1" w:styleId="List1indent2">
    <w:name w:val="List 1 indent 2"/>
    <w:basedOn w:val="Normal"/>
    <w:qFormat/>
    <w:rsid w:val="00E93C9B"/>
    <w:pPr>
      <w:widowControl w:val="0"/>
      <w:numPr>
        <w:ilvl w:val="2"/>
        <w:numId w:val="22"/>
      </w:numPr>
      <w:autoSpaceDE w:val="0"/>
      <w:autoSpaceDN w:val="0"/>
      <w:adjustRightInd w:val="0"/>
      <w:spacing w:after="120"/>
      <w:jc w:val="both"/>
    </w:pPr>
    <w:rPr>
      <w:sz w:val="20"/>
      <w:lang w:val="fr-FR" w:eastAsia="en-GB"/>
    </w:rPr>
  </w:style>
  <w:style w:type="paragraph" w:customStyle="1" w:styleId="List1indent2text">
    <w:name w:val="List 1 indent 2 text"/>
    <w:basedOn w:val="Normal"/>
    <w:rsid w:val="00E93C9B"/>
    <w:pPr>
      <w:spacing w:after="60"/>
      <w:ind w:left="1701"/>
      <w:jc w:val="both"/>
    </w:pPr>
    <w:rPr>
      <w:sz w:val="20"/>
      <w:lang w:val="fr-FR" w:eastAsia="en-GB"/>
    </w:rPr>
  </w:style>
  <w:style w:type="paragraph" w:customStyle="1" w:styleId="List1text">
    <w:name w:val="List 1 text"/>
    <w:basedOn w:val="Normal"/>
    <w:qFormat/>
    <w:rsid w:val="005D05AC"/>
    <w:pPr>
      <w:spacing w:after="120"/>
      <w:ind w:left="567"/>
    </w:pPr>
    <w:rPr>
      <w:lang w:val="fr-FR" w:eastAsia="en-GB"/>
    </w:rPr>
  </w:style>
  <w:style w:type="character" w:styleId="PageNumber">
    <w:name w:val="page number"/>
    <w:rsid w:val="005D05AC"/>
    <w:rPr>
      <w:rFonts w:ascii="Arial" w:hAnsi="Arial"/>
      <w:sz w:val="20"/>
    </w:rPr>
  </w:style>
  <w:style w:type="paragraph" w:customStyle="1" w:styleId="StyleTableofFiguresJustifiedAfter6pt">
    <w:name w:val="Style Table of Figures + Justified After:  6 pt"/>
    <w:basedOn w:val="TableofFigures"/>
    <w:rsid w:val="005D05AC"/>
    <w:pPr>
      <w:numPr>
        <w:numId w:val="19"/>
      </w:numPr>
      <w:tabs>
        <w:tab w:val="right" w:pos="9639"/>
      </w:tabs>
      <w:spacing w:after="120"/>
      <w:ind w:right="284"/>
      <w:jc w:val="both"/>
    </w:pPr>
    <w:rPr>
      <w:rFonts w:eastAsia="MS Mincho"/>
      <w:noProof/>
      <w:lang w:eastAsia="ja-JP"/>
    </w:rPr>
  </w:style>
  <w:style w:type="paragraph" w:styleId="TableofFigures">
    <w:name w:val="table of figures"/>
    <w:basedOn w:val="Normal"/>
    <w:next w:val="Normal"/>
    <w:uiPriority w:val="99"/>
    <w:unhideWhenUsed/>
    <w:rsid w:val="005D05AC"/>
    <w:rPr>
      <w:lang w:val="fr-FR" w:eastAsia="fr-FR"/>
    </w:rPr>
  </w:style>
  <w:style w:type="paragraph" w:customStyle="1" w:styleId="Table">
    <w:name w:val="Table_#"/>
    <w:basedOn w:val="Normal"/>
    <w:next w:val="Normal"/>
    <w:rsid w:val="005D05AC"/>
    <w:pPr>
      <w:numPr>
        <w:numId w:val="20"/>
      </w:numPr>
      <w:jc w:val="center"/>
    </w:pPr>
    <w:rPr>
      <w:i/>
      <w:szCs w:val="24"/>
      <w:lang w:val="fr-FR" w:eastAsia="en-GB"/>
    </w:rPr>
  </w:style>
  <w:style w:type="character" w:customStyle="1" w:styleId="BodyTextChar">
    <w:name w:val="Body Text Char"/>
    <w:link w:val="BodyText"/>
    <w:rsid w:val="00AA2626"/>
    <w:rPr>
      <w:rFonts w:ascii="Calibri" w:eastAsia="Calibri" w:hAnsi="Calibri" w:cs="Calibri"/>
      <w:sz w:val="22"/>
      <w:szCs w:val="22"/>
      <w:lang w:val="en-GB" w:eastAsia="en-GB"/>
    </w:rPr>
  </w:style>
  <w:style w:type="paragraph" w:styleId="BodyTextIndent">
    <w:name w:val="Body Text Indent"/>
    <w:basedOn w:val="Normal"/>
    <w:link w:val="BodyTextIndentChar"/>
    <w:rsid w:val="00002906"/>
    <w:pPr>
      <w:spacing w:after="120"/>
      <w:ind w:left="567"/>
    </w:pPr>
    <w:rPr>
      <w:rFonts w:eastAsia="Calibri" w:cs="Calibri"/>
      <w:szCs w:val="22"/>
      <w:lang w:eastAsia="en-GB"/>
    </w:rPr>
  </w:style>
  <w:style w:type="character" w:customStyle="1" w:styleId="BodyTextIndentChar">
    <w:name w:val="Body Text Indent Char"/>
    <w:link w:val="BodyTextIndent"/>
    <w:rsid w:val="00002906"/>
    <w:rPr>
      <w:rFonts w:ascii="Arial" w:eastAsia="Calibri" w:hAnsi="Arial" w:cs="Calibri"/>
      <w:sz w:val="22"/>
      <w:szCs w:val="22"/>
    </w:rPr>
  </w:style>
  <w:style w:type="paragraph" w:styleId="BodyTextIndent2">
    <w:name w:val="Body Text Indent 2"/>
    <w:basedOn w:val="Normal"/>
    <w:link w:val="BodyTextIndent2Char"/>
    <w:rsid w:val="00002906"/>
    <w:pPr>
      <w:spacing w:after="120"/>
      <w:ind w:left="1134"/>
      <w:jc w:val="both"/>
    </w:pPr>
    <w:rPr>
      <w:rFonts w:eastAsia="Calibri" w:cs="Calibri"/>
      <w:szCs w:val="22"/>
      <w:lang w:eastAsia="de-DE"/>
    </w:rPr>
  </w:style>
  <w:style w:type="character" w:customStyle="1" w:styleId="BodyTextIndent2Char">
    <w:name w:val="Body Text Indent 2 Char"/>
    <w:link w:val="BodyTextIndent2"/>
    <w:rsid w:val="00002906"/>
    <w:rPr>
      <w:rFonts w:ascii="Arial" w:eastAsia="Calibri" w:hAnsi="Arial" w:cs="Calibri"/>
      <w:sz w:val="22"/>
      <w:szCs w:val="22"/>
      <w:lang w:eastAsia="de-DE"/>
    </w:rPr>
  </w:style>
  <w:style w:type="paragraph" w:styleId="BalloonText">
    <w:name w:val="Balloon Text"/>
    <w:basedOn w:val="Normal"/>
    <w:link w:val="BalloonTextChar"/>
    <w:rsid w:val="002572B9"/>
    <w:rPr>
      <w:rFonts w:ascii="Tahoma" w:hAnsi="Tahoma" w:cs="Tahoma"/>
      <w:sz w:val="16"/>
      <w:szCs w:val="16"/>
    </w:rPr>
  </w:style>
  <w:style w:type="character" w:customStyle="1" w:styleId="BalloonTextChar">
    <w:name w:val="Balloon Text Char"/>
    <w:basedOn w:val="DefaultParagraphFont"/>
    <w:link w:val="BalloonText"/>
    <w:rsid w:val="002572B9"/>
    <w:rPr>
      <w:rFonts w:ascii="Tahoma" w:hAnsi="Tahoma" w:cs="Tahoma"/>
      <w:sz w:val="16"/>
      <w:szCs w:val="16"/>
      <w:lang w:val="en-GB" w:eastAsia="en-US"/>
    </w:rPr>
  </w:style>
  <w:style w:type="paragraph" w:styleId="ListParagraph">
    <w:name w:val="List Paragraph"/>
    <w:basedOn w:val="Normal"/>
    <w:uiPriority w:val="34"/>
    <w:rsid w:val="00CA21C3"/>
    <w:pPr>
      <w:ind w:left="720"/>
      <w:contextualSpacing/>
    </w:pPr>
  </w:style>
  <w:style w:type="paragraph" w:customStyle="1" w:styleId="Recallings">
    <w:name w:val="Recallings"/>
    <w:basedOn w:val="BodyText"/>
    <w:rsid w:val="00B22DFE"/>
    <w:pPr>
      <w:tabs>
        <w:tab w:val="clear" w:pos="851"/>
      </w:tabs>
      <w:spacing w:before="240"/>
      <w:ind w:left="425"/>
    </w:pPr>
    <w:rPr>
      <w:rFonts w:ascii="Arial" w:eastAsia="Times New Roman" w:hAnsi="Arial" w:cs="Arial"/>
      <w:szCs w:val="24"/>
      <w:lang w:eastAsia="en-US"/>
    </w:rPr>
  </w:style>
  <w:style w:type="character" w:styleId="FootnoteReference">
    <w:name w:val="footnote reference"/>
    <w:uiPriority w:val="99"/>
    <w:rsid w:val="00B22DFE"/>
    <w:rPr>
      <w:vertAlign w:val="superscript"/>
    </w:rPr>
  </w:style>
  <w:style w:type="paragraph" w:styleId="FootnoteText">
    <w:name w:val="footnote text"/>
    <w:basedOn w:val="Normal"/>
    <w:link w:val="FootnoteTextChar"/>
    <w:uiPriority w:val="99"/>
    <w:rsid w:val="00B22DFE"/>
    <w:pPr>
      <w:tabs>
        <w:tab w:val="clear" w:pos="851"/>
      </w:tabs>
    </w:pPr>
    <w:rPr>
      <w:rFonts w:ascii="Arial" w:hAnsi="Arial" w:cs="Arial"/>
      <w:sz w:val="20"/>
      <w:lang w:eastAsia="en-GB"/>
    </w:rPr>
  </w:style>
  <w:style w:type="character" w:customStyle="1" w:styleId="FootnoteTextChar">
    <w:name w:val="Footnote Text Char"/>
    <w:basedOn w:val="DefaultParagraphFont"/>
    <w:link w:val="FootnoteText"/>
    <w:uiPriority w:val="99"/>
    <w:rsid w:val="00B22DFE"/>
    <w:rPr>
      <w:rFonts w:ascii="Arial" w:hAnsi="Arial" w:cs="Arial"/>
      <w:lang w:val="en-GB" w:eastAsia="en-GB"/>
    </w:rPr>
  </w:style>
  <w:style w:type="paragraph" w:customStyle="1" w:styleId="Appendix">
    <w:name w:val="Appendix"/>
    <w:basedOn w:val="Normal"/>
    <w:next w:val="Heading1"/>
    <w:qFormat/>
    <w:rsid w:val="005D7AB8"/>
    <w:pPr>
      <w:numPr>
        <w:numId w:val="32"/>
      </w:numPr>
      <w:tabs>
        <w:tab w:val="clear" w:pos="851"/>
        <w:tab w:val="left" w:pos="1985"/>
      </w:tabs>
      <w:spacing w:after="240"/>
      <w:ind w:left="1985" w:hanging="1985"/>
    </w:pPr>
    <w:rPr>
      <w:rFonts w:ascii="Arial" w:hAnsi="Arial" w:cs="Arial"/>
      <w:b/>
      <w:sz w:val="24"/>
      <w:szCs w:val="28"/>
      <w:lang w:eastAsia="en-GB"/>
    </w:rPr>
  </w:style>
  <w:style w:type="character" w:styleId="Hyperlink">
    <w:name w:val="Hyperlink"/>
    <w:uiPriority w:val="99"/>
    <w:rsid w:val="005D7AB8"/>
    <w:rPr>
      <w:color w:val="0000FF"/>
      <w:u w:val="single"/>
    </w:rPr>
  </w:style>
  <w:style w:type="paragraph" w:customStyle="1" w:styleId="AppendixHeading1">
    <w:name w:val="Appendix Heading 1"/>
    <w:basedOn w:val="Normal"/>
    <w:next w:val="BodyText"/>
    <w:rsid w:val="005D7AB8"/>
    <w:pPr>
      <w:numPr>
        <w:numId w:val="33"/>
      </w:numPr>
      <w:tabs>
        <w:tab w:val="clear" w:pos="851"/>
      </w:tabs>
      <w:spacing w:before="120" w:after="120"/>
    </w:pPr>
    <w:rPr>
      <w:rFonts w:ascii="Arial" w:eastAsia="Calibri" w:hAnsi="Arial" w:cs="Arial"/>
      <w:b/>
      <w:caps/>
      <w:sz w:val="24"/>
      <w:szCs w:val="22"/>
      <w:lang w:eastAsia="en-GB"/>
    </w:rPr>
  </w:style>
  <w:style w:type="paragraph" w:customStyle="1" w:styleId="AppendixHeading2">
    <w:name w:val="Appendix Heading 2"/>
    <w:basedOn w:val="Normal"/>
    <w:next w:val="BodyText"/>
    <w:qFormat/>
    <w:rsid w:val="005D7AB8"/>
    <w:pPr>
      <w:numPr>
        <w:ilvl w:val="1"/>
        <w:numId w:val="33"/>
      </w:numPr>
      <w:spacing w:before="120" w:after="120"/>
    </w:pPr>
    <w:rPr>
      <w:rFonts w:ascii="Arial" w:eastAsia="Calibri" w:hAnsi="Arial" w:cs="Arial"/>
      <w:b/>
      <w:szCs w:val="22"/>
      <w:lang w:eastAsia="en-GB"/>
    </w:rPr>
  </w:style>
  <w:style w:type="paragraph" w:customStyle="1" w:styleId="AppendixHeading3">
    <w:name w:val="Appendix Heading 3"/>
    <w:basedOn w:val="Normal"/>
    <w:next w:val="Normal"/>
    <w:rsid w:val="005D7AB8"/>
    <w:pPr>
      <w:numPr>
        <w:ilvl w:val="2"/>
        <w:numId w:val="33"/>
      </w:numPr>
      <w:tabs>
        <w:tab w:val="clear" w:pos="851"/>
      </w:tabs>
      <w:spacing w:before="120" w:after="120"/>
    </w:pPr>
    <w:rPr>
      <w:rFonts w:ascii="Arial" w:eastAsia="Calibri" w:hAnsi="Arial" w:cs="Arial"/>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6" w:qFormat="1"/>
    <w:lsdException w:name="footnote text" w:uiPriority="99"/>
    <w:lsdException w:name="caption" w:semiHidden="1" w:unhideWhenUsed="1" w:qFormat="1"/>
    <w:lsdException w:name="table of figures" w:uiPriority="99"/>
    <w:lsdException w:name="footnote reference" w:uiPriority="99"/>
    <w:lsdException w:name="Title" w:qFormat="1"/>
    <w:lsdException w:name="Body Text" w:qFormat="1"/>
    <w:lsdException w:name="Subtitle"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2B0236"/>
    <w:pPr>
      <w:tabs>
        <w:tab w:val="left" w:pos="851"/>
      </w:tabs>
    </w:pPr>
    <w:rPr>
      <w:rFonts w:ascii="Calibri" w:hAnsi="Calibri"/>
      <w:sz w:val="22"/>
      <w:lang w:val="en-GB" w:eastAsia="en-US"/>
    </w:rPr>
  </w:style>
  <w:style w:type="paragraph" w:styleId="Heading1">
    <w:name w:val="heading 1"/>
    <w:basedOn w:val="Normal"/>
    <w:next w:val="Normal"/>
    <w:qFormat/>
    <w:rsid w:val="00AA2626"/>
    <w:pPr>
      <w:keepNext/>
      <w:numPr>
        <w:numId w:val="15"/>
      </w:numPr>
      <w:tabs>
        <w:tab w:val="clear" w:pos="432"/>
        <w:tab w:val="left" w:pos="567"/>
      </w:tabs>
      <w:spacing w:before="240" w:after="240"/>
      <w:ind w:left="567" w:hanging="567"/>
      <w:outlineLvl w:val="0"/>
    </w:pPr>
    <w:rPr>
      <w:rFonts w:eastAsia="MS Mincho"/>
      <w:b/>
      <w:color w:val="2E74B5"/>
      <w:kern w:val="28"/>
      <w:sz w:val="24"/>
      <w:szCs w:val="24"/>
      <w:lang w:eastAsia="de-DE"/>
    </w:rPr>
  </w:style>
  <w:style w:type="paragraph" w:styleId="Heading2">
    <w:name w:val="heading 2"/>
    <w:basedOn w:val="Heading1"/>
    <w:next w:val="Normal"/>
    <w:qFormat/>
    <w:rsid w:val="00135447"/>
    <w:pPr>
      <w:numPr>
        <w:ilvl w:val="1"/>
      </w:numPr>
      <w:tabs>
        <w:tab w:val="clear" w:pos="576"/>
      </w:tabs>
      <w:ind w:left="851" w:hanging="851"/>
      <w:jc w:val="both"/>
      <w:outlineLvl w:val="1"/>
    </w:pPr>
  </w:style>
  <w:style w:type="paragraph" w:styleId="Heading3">
    <w:name w:val="heading 3"/>
    <w:basedOn w:val="Normal"/>
    <w:next w:val="Normal"/>
    <w:autoRedefine/>
    <w:qFormat/>
    <w:rsid w:val="00135447"/>
    <w:pPr>
      <w:keepNext/>
      <w:numPr>
        <w:ilvl w:val="2"/>
        <w:numId w:val="15"/>
      </w:numPr>
      <w:tabs>
        <w:tab w:val="clear" w:pos="720"/>
      </w:tabs>
      <w:spacing w:before="120" w:after="120"/>
      <w:ind w:left="851" w:hanging="851"/>
      <w:jc w:val="both"/>
      <w:outlineLvl w:val="2"/>
    </w:pPr>
    <w:rPr>
      <w:iCs/>
      <w:lang w:val="fr-FR" w:eastAsia="en-GB"/>
    </w:rPr>
  </w:style>
  <w:style w:type="paragraph" w:styleId="Heading4">
    <w:name w:val="heading 4"/>
    <w:basedOn w:val="Normal"/>
    <w:next w:val="Normal"/>
    <w:rsid w:val="00135447"/>
    <w:pPr>
      <w:keepNext/>
      <w:widowControl w:val="0"/>
      <w:numPr>
        <w:ilvl w:val="3"/>
        <w:numId w:val="15"/>
      </w:numPr>
      <w:tabs>
        <w:tab w:val="clear" w:pos="864"/>
        <w:tab w:val="left" w:pos="1134"/>
      </w:tabs>
      <w:spacing w:before="120" w:after="120"/>
      <w:ind w:left="1134" w:hanging="1134"/>
      <w:outlineLvl w:val="3"/>
    </w:pPr>
    <w:rPr>
      <w:bCs/>
      <w:snapToGrid w:val="0"/>
      <w:szCs w:val="28"/>
      <w:lang w:val="fr-FR" w:eastAsia="fr-FR"/>
    </w:rPr>
  </w:style>
  <w:style w:type="paragraph" w:styleId="Heading5">
    <w:name w:val="heading 5"/>
    <w:basedOn w:val="Normal"/>
    <w:next w:val="Normal"/>
    <w:rsid w:val="00135447"/>
    <w:pPr>
      <w:numPr>
        <w:ilvl w:val="4"/>
        <w:numId w:val="1"/>
      </w:numPr>
      <w:tabs>
        <w:tab w:val="clear" w:pos="1008"/>
        <w:tab w:val="left" w:pos="1134"/>
      </w:tabs>
      <w:spacing w:before="120" w:after="60"/>
      <w:ind w:left="1134" w:hanging="1134"/>
      <w:outlineLvl w:val="4"/>
    </w:pPr>
    <w:rPr>
      <w:bCs/>
      <w:iCs/>
      <w:sz w:val="20"/>
      <w:szCs w:val="26"/>
    </w:rPr>
  </w:style>
  <w:style w:type="paragraph" w:styleId="Heading6">
    <w:name w:val="heading 6"/>
    <w:basedOn w:val="Normal"/>
    <w:next w:val="Normal"/>
    <w:unhideWhenUsed/>
    <w:qFormat/>
    <w:rsid w:val="005D05AC"/>
    <w:pPr>
      <w:numPr>
        <w:ilvl w:val="5"/>
        <w:numId w:val="15"/>
      </w:numPr>
      <w:spacing w:before="240" w:after="60"/>
      <w:outlineLvl w:val="5"/>
    </w:pPr>
    <w:rPr>
      <w:rFonts w:cs="Arial"/>
      <w:b/>
      <w:bCs/>
      <w:lang w:val="fr-FR" w:eastAsia="en-GB"/>
    </w:rPr>
  </w:style>
  <w:style w:type="paragraph" w:styleId="Heading7">
    <w:name w:val="heading 7"/>
    <w:basedOn w:val="Normal"/>
    <w:next w:val="Normal"/>
    <w:rsid w:val="000348ED"/>
    <w:pPr>
      <w:numPr>
        <w:ilvl w:val="6"/>
        <w:numId w:val="1"/>
      </w:numPr>
      <w:spacing w:before="240" w:after="60"/>
      <w:outlineLvl w:val="6"/>
    </w:pPr>
  </w:style>
  <w:style w:type="paragraph" w:styleId="Heading8">
    <w:name w:val="heading 8"/>
    <w:basedOn w:val="Normal"/>
    <w:next w:val="Normal"/>
    <w:rsid w:val="000348ED"/>
    <w:pPr>
      <w:numPr>
        <w:ilvl w:val="7"/>
        <w:numId w:val="1"/>
      </w:numPr>
      <w:spacing w:before="240" w:after="60"/>
      <w:outlineLvl w:val="7"/>
    </w:pPr>
    <w:rPr>
      <w:i/>
      <w:iCs/>
    </w:rPr>
  </w:style>
  <w:style w:type="paragraph" w:styleId="Heading9">
    <w:name w:val="heading 9"/>
    <w:basedOn w:val="Normal"/>
    <w:next w:val="Normal"/>
    <w:rsid w:val="000348E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A2626"/>
    <w:pPr>
      <w:spacing w:before="480" w:after="120"/>
      <w:jc w:val="center"/>
      <w:outlineLvl w:val="0"/>
    </w:pPr>
    <w:rPr>
      <w:rFonts w:cs="Arial"/>
      <w:b/>
      <w:bCs/>
      <w:color w:val="2E74B5"/>
      <w:kern w:val="28"/>
      <w:sz w:val="32"/>
      <w:szCs w:val="32"/>
    </w:rPr>
  </w:style>
  <w:style w:type="paragraph" w:styleId="BodyText">
    <w:name w:val="Body Text"/>
    <w:basedOn w:val="Normal"/>
    <w:link w:val="BodyTextChar"/>
    <w:qFormat/>
    <w:rsid w:val="00AA2626"/>
    <w:pPr>
      <w:spacing w:after="120"/>
      <w:jc w:val="both"/>
    </w:pPr>
    <w:rPr>
      <w:rFonts w:eastAsia="Calibri" w:cs="Calibri"/>
      <w:szCs w:val="22"/>
      <w:lang w:eastAsia="en-GB"/>
    </w:rPr>
  </w:style>
  <w:style w:type="paragraph" w:customStyle="1" w:styleId="Annex">
    <w:name w:val="Annex"/>
    <w:basedOn w:val="Heading1"/>
    <w:next w:val="Normal"/>
    <w:qFormat/>
    <w:rsid w:val="005D05AC"/>
    <w:pPr>
      <w:numPr>
        <w:numId w:val="6"/>
      </w:numPr>
      <w:tabs>
        <w:tab w:val="left" w:pos="1701"/>
      </w:tabs>
    </w:pPr>
    <w:rPr>
      <w:bCs/>
      <w:snapToGrid w:val="0"/>
    </w:rPr>
  </w:style>
  <w:style w:type="paragraph" w:customStyle="1" w:styleId="Bullet1">
    <w:name w:val="Bullet 1"/>
    <w:basedOn w:val="Normal"/>
    <w:qFormat/>
    <w:rsid w:val="00AA2626"/>
    <w:pPr>
      <w:numPr>
        <w:numId w:val="7"/>
      </w:numPr>
      <w:tabs>
        <w:tab w:val="clear" w:pos="720"/>
        <w:tab w:val="left" w:pos="1134"/>
      </w:tabs>
      <w:spacing w:after="120"/>
      <w:ind w:left="1134" w:hanging="567"/>
      <w:jc w:val="both"/>
      <w:outlineLvl w:val="0"/>
    </w:pPr>
    <w:rPr>
      <w:rFonts w:eastAsia="Times"/>
      <w:lang w:eastAsia="en-GB"/>
    </w:rPr>
  </w:style>
  <w:style w:type="paragraph" w:customStyle="1" w:styleId="Bullet1text">
    <w:name w:val="Bullet 1 text"/>
    <w:basedOn w:val="Normal"/>
    <w:rsid w:val="00E93C9B"/>
    <w:pPr>
      <w:suppressAutoHyphens/>
      <w:spacing w:after="120"/>
      <w:ind w:left="1134"/>
      <w:jc w:val="both"/>
    </w:pPr>
    <w:rPr>
      <w:lang w:val="fr-FR" w:eastAsia="en-GB"/>
    </w:rPr>
  </w:style>
  <w:style w:type="paragraph" w:customStyle="1" w:styleId="Bullet2">
    <w:name w:val="Bullet 2"/>
    <w:basedOn w:val="Normal"/>
    <w:rsid w:val="00E93C9B"/>
    <w:pPr>
      <w:numPr>
        <w:numId w:val="8"/>
      </w:numPr>
      <w:tabs>
        <w:tab w:val="clear" w:pos="1201"/>
        <w:tab w:val="left" w:pos="1701"/>
      </w:tabs>
      <w:spacing w:after="120"/>
      <w:ind w:left="1701" w:hanging="567"/>
      <w:jc w:val="both"/>
    </w:pPr>
    <w:rPr>
      <w:lang w:val="fr-FR" w:eastAsia="en-GB"/>
    </w:rPr>
  </w:style>
  <w:style w:type="paragraph" w:customStyle="1" w:styleId="Bullet2text">
    <w:name w:val="Bullet 2 text"/>
    <w:basedOn w:val="Normal"/>
    <w:rsid w:val="00E93C9B"/>
    <w:pPr>
      <w:suppressAutoHyphens/>
      <w:spacing w:after="120"/>
      <w:ind w:left="1701"/>
      <w:jc w:val="both"/>
    </w:pPr>
    <w:rPr>
      <w:lang w:val="fr-FR" w:eastAsia="en-GB"/>
    </w:rPr>
  </w:style>
  <w:style w:type="paragraph" w:customStyle="1" w:styleId="Bullet3">
    <w:name w:val="Bullet 3"/>
    <w:basedOn w:val="Normal"/>
    <w:rsid w:val="00E93C9B"/>
    <w:pPr>
      <w:numPr>
        <w:numId w:val="9"/>
      </w:numPr>
      <w:tabs>
        <w:tab w:val="left" w:pos="2268"/>
      </w:tabs>
      <w:spacing w:after="60"/>
      <w:ind w:left="2268" w:hanging="567"/>
      <w:jc w:val="both"/>
    </w:pPr>
    <w:rPr>
      <w:sz w:val="20"/>
      <w:lang w:val="fr-FR" w:eastAsia="en-GB"/>
    </w:rPr>
  </w:style>
  <w:style w:type="paragraph" w:customStyle="1" w:styleId="Bullet3text">
    <w:name w:val="Bullet 3 text"/>
    <w:basedOn w:val="Normal"/>
    <w:rsid w:val="00E93C9B"/>
    <w:pPr>
      <w:suppressAutoHyphens/>
      <w:spacing w:after="60"/>
      <w:ind w:left="2268"/>
    </w:pPr>
    <w:rPr>
      <w:sz w:val="20"/>
      <w:lang w:val="fr-FR" w:eastAsia="en-GB"/>
    </w:rPr>
  </w:style>
  <w:style w:type="paragraph" w:customStyle="1" w:styleId="Figure">
    <w:name w:val="Figure_#"/>
    <w:basedOn w:val="Normal"/>
    <w:next w:val="Normal"/>
    <w:qFormat/>
    <w:rsid w:val="005D05AC"/>
    <w:pPr>
      <w:numPr>
        <w:numId w:val="10"/>
      </w:numPr>
      <w:jc w:val="center"/>
    </w:pPr>
    <w:rPr>
      <w:i/>
      <w:lang w:val="fr-FR" w:eastAsia="en-GB"/>
    </w:rPr>
  </w:style>
  <w:style w:type="paragraph" w:styleId="Footer">
    <w:name w:val="footer"/>
    <w:basedOn w:val="Normal"/>
    <w:link w:val="FooterChar"/>
    <w:rsid w:val="005D05AC"/>
    <w:pPr>
      <w:tabs>
        <w:tab w:val="center" w:pos="4820"/>
        <w:tab w:val="right" w:pos="9639"/>
      </w:tabs>
    </w:pPr>
    <w:rPr>
      <w:rFonts w:eastAsia="MS Mincho" w:cs="Arial"/>
      <w:lang w:val="fr-FR" w:eastAsia="ja-JP"/>
    </w:rPr>
  </w:style>
  <w:style w:type="character" w:customStyle="1" w:styleId="FooterChar">
    <w:name w:val="Footer Char"/>
    <w:link w:val="Footer"/>
    <w:rsid w:val="005D05AC"/>
    <w:rPr>
      <w:rFonts w:ascii="Arial" w:eastAsia="MS Mincho" w:hAnsi="Arial" w:cs="Arial"/>
      <w:sz w:val="22"/>
      <w:szCs w:val="24"/>
      <w:lang w:val="fr-FR" w:eastAsia="ja-JP"/>
    </w:rPr>
  </w:style>
  <w:style w:type="paragraph" w:styleId="Header">
    <w:name w:val="header"/>
    <w:basedOn w:val="Normal"/>
    <w:link w:val="HeaderChar"/>
    <w:rsid w:val="005D05AC"/>
    <w:pPr>
      <w:tabs>
        <w:tab w:val="center" w:pos="4820"/>
        <w:tab w:val="right" w:pos="9639"/>
      </w:tabs>
      <w:jc w:val="right"/>
    </w:pPr>
    <w:rPr>
      <w:rFonts w:eastAsia="MS Mincho"/>
      <w:sz w:val="20"/>
      <w:lang w:val="fr-FR" w:eastAsia="ja-JP"/>
    </w:rPr>
  </w:style>
  <w:style w:type="character" w:customStyle="1" w:styleId="HeaderChar">
    <w:name w:val="Header Char"/>
    <w:link w:val="Header"/>
    <w:rsid w:val="005D05AC"/>
    <w:rPr>
      <w:rFonts w:ascii="Arial" w:eastAsia="MS Mincho" w:hAnsi="Arial"/>
      <w:lang w:val="fr-FR" w:eastAsia="ja-JP"/>
    </w:rPr>
  </w:style>
  <w:style w:type="paragraph" w:customStyle="1" w:styleId="List1">
    <w:name w:val="List 1"/>
    <w:basedOn w:val="Normal"/>
    <w:qFormat/>
    <w:rsid w:val="00AA2626"/>
    <w:pPr>
      <w:numPr>
        <w:numId w:val="22"/>
      </w:numPr>
      <w:spacing w:after="120"/>
      <w:jc w:val="both"/>
    </w:pPr>
    <w:rPr>
      <w:lang w:val="fr-FR" w:eastAsia="en-GB"/>
    </w:rPr>
  </w:style>
  <w:style w:type="paragraph" w:customStyle="1" w:styleId="List1indent1">
    <w:name w:val="List 1 indent 1"/>
    <w:basedOn w:val="Normal"/>
    <w:rsid w:val="00E93C9B"/>
    <w:pPr>
      <w:numPr>
        <w:ilvl w:val="1"/>
        <w:numId w:val="22"/>
      </w:numPr>
      <w:spacing w:after="120"/>
      <w:jc w:val="both"/>
    </w:pPr>
    <w:rPr>
      <w:lang w:val="fr-FR" w:eastAsia="en-GB"/>
    </w:rPr>
  </w:style>
  <w:style w:type="paragraph" w:customStyle="1" w:styleId="List1indent1text">
    <w:name w:val="List 1 indent 1 text"/>
    <w:basedOn w:val="Normal"/>
    <w:rsid w:val="00E93C9B"/>
    <w:pPr>
      <w:spacing w:after="120"/>
      <w:ind w:left="1134"/>
      <w:jc w:val="both"/>
    </w:pPr>
    <w:rPr>
      <w:lang w:val="fr-FR" w:eastAsia="fr-FR"/>
    </w:rPr>
  </w:style>
  <w:style w:type="paragraph" w:customStyle="1" w:styleId="List1indent2">
    <w:name w:val="List 1 indent 2"/>
    <w:basedOn w:val="Normal"/>
    <w:qFormat/>
    <w:rsid w:val="00E93C9B"/>
    <w:pPr>
      <w:widowControl w:val="0"/>
      <w:numPr>
        <w:ilvl w:val="2"/>
        <w:numId w:val="22"/>
      </w:numPr>
      <w:autoSpaceDE w:val="0"/>
      <w:autoSpaceDN w:val="0"/>
      <w:adjustRightInd w:val="0"/>
      <w:spacing w:after="120"/>
      <w:jc w:val="both"/>
    </w:pPr>
    <w:rPr>
      <w:sz w:val="20"/>
      <w:lang w:val="fr-FR" w:eastAsia="en-GB"/>
    </w:rPr>
  </w:style>
  <w:style w:type="paragraph" w:customStyle="1" w:styleId="List1indent2text">
    <w:name w:val="List 1 indent 2 text"/>
    <w:basedOn w:val="Normal"/>
    <w:rsid w:val="00E93C9B"/>
    <w:pPr>
      <w:spacing w:after="60"/>
      <w:ind w:left="1701"/>
      <w:jc w:val="both"/>
    </w:pPr>
    <w:rPr>
      <w:sz w:val="20"/>
      <w:lang w:val="fr-FR" w:eastAsia="en-GB"/>
    </w:rPr>
  </w:style>
  <w:style w:type="paragraph" w:customStyle="1" w:styleId="List1text">
    <w:name w:val="List 1 text"/>
    <w:basedOn w:val="Normal"/>
    <w:qFormat/>
    <w:rsid w:val="005D05AC"/>
    <w:pPr>
      <w:spacing w:after="120"/>
      <w:ind w:left="567"/>
    </w:pPr>
    <w:rPr>
      <w:lang w:val="fr-FR" w:eastAsia="en-GB"/>
    </w:rPr>
  </w:style>
  <w:style w:type="character" w:styleId="PageNumber">
    <w:name w:val="page number"/>
    <w:rsid w:val="005D05AC"/>
    <w:rPr>
      <w:rFonts w:ascii="Arial" w:hAnsi="Arial"/>
      <w:sz w:val="20"/>
    </w:rPr>
  </w:style>
  <w:style w:type="paragraph" w:customStyle="1" w:styleId="StyleTableofFiguresJustifiedAfter6pt">
    <w:name w:val="Style Table of Figures + Justified After:  6 pt"/>
    <w:basedOn w:val="TableofFigures"/>
    <w:rsid w:val="005D05AC"/>
    <w:pPr>
      <w:numPr>
        <w:numId w:val="19"/>
      </w:numPr>
      <w:tabs>
        <w:tab w:val="right" w:pos="9639"/>
      </w:tabs>
      <w:spacing w:after="120"/>
      <w:ind w:right="284"/>
      <w:jc w:val="both"/>
    </w:pPr>
    <w:rPr>
      <w:rFonts w:eastAsia="MS Mincho"/>
      <w:noProof/>
      <w:lang w:eastAsia="ja-JP"/>
    </w:rPr>
  </w:style>
  <w:style w:type="paragraph" w:styleId="TableofFigures">
    <w:name w:val="table of figures"/>
    <w:basedOn w:val="Normal"/>
    <w:next w:val="Normal"/>
    <w:uiPriority w:val="99"/>
    <w:unhideWhenUsed/>
    <w:rsid w:val="005D05AC"/>
    <w:rPr>
      <w:lang w:val="fr-FR" w:eastAsia="fr-FR"/>
    </w:rPr>
  </w:style>
  <w:style w:type="paragraph" w:customStyle="1" w:styleId="Table">
    <w:name w:val="Table_#"/>
    <w:basedOn w:val="Normal"/>
    <w:next w:val="Normal"/>
    <w:rsid w:val="005D05AC"/>
    <w:pPr>
      <w:numPr>
        <w:numId w:val="20"/>
      </w:numPr>
      <w:jc w:val="center"/>
    </w:pPr>
    <w:rPr>
      <w:i/>
      <w:szCs w:val="24"/>
      <w:lang w:val="fr-FR" w:eastAsia="en-GB"/>
    </w:rPr>
  </w:style>
  <w:style w:type="character" w:customStyle="1" w:styleId="BodyTextChar">
    <w:name w:val="Body Text Char"/>
    <w:link w:val="BodyText"/>
    <w:rsid w:val="00AA2626"/>
    <w:rPr>
      <w:rFonts w:ascii="Calibri" w:eastAsia="Calibri" w:hAnsi="Calibri" w:cs="Calibri"/>
      <w:sz w:val="22"/>
      <w:szCs w:val="22"/>
      <w:lang w:val="en-GB" w:eastAsia="en-GB"/>
    </w:rPr>
  </w:style>
  <w:style w:type="paragraph" w:styleId="BodyTextIndent">
    <w:name w:val="Body Text Indent"/>
    <w:basedOn w:val="Normal"/>
    <w:link w:val="BodyTextIndentChar"/>
    <w:rsid w:val="00002906"/>
    <w:pPr>
      <w:spacing w:after="120"/>
      <w:ind w:left="567"/>
    </w:pPr>
    <w:rPr>
      <w:rFonts w:eastAsia="Calibri" w:cs="Calibri"/>
      <w:szCs w:val="22"/>
      <w:lang w:eastAsia="en-GB"/>
    </w:rPr>
  </w:style>
  <w:style w:type="character" w:customStyle="1" w:styleId="BodyTextIndentChar">
    <w:name w:val="Body Text Indent Char"/>
    <w:link w:val="BodyTextIndent"/>
    <w:rsid w:val="00002906"/>
    <w:rPr>
      <w:rFonts w:ascii="Arial" w:eastAsia="Calibri" w:hAnsi="Arial" w:cs="Calibri"/>
      <w:sz w:val="22"/>
      <w:szCs w:val="22"/>
    </w:rPr>
  </w:style>
  <w:style w:type="paragraph" w:styleId="BodyTextIndent2">
    <w:name w:val="Body Text Indent 2"/>
    <w:basedOn w:val="Normal"/>
    <w:link w:val="BodyTextIndent2Char"/>
    <w:rsid w:val="00002906"/>
    <w:pPr>
      <w:spacing w:after="120"/>
      <w:ind w:left="1134"/>
      <w:jc w:val="both"/>
    </w:pPr>
    <w:rPr>
      <w:rFonts w:eastAsia="Calibri" w:cs="Calibri"/>
      <w:szCs w:val="22"/>
      <w:lang w:eastAsia="de-DE"/>
    </w:rPr>
  </w:style>
  <w:style w:type="character" w:customStyle="1" w:styleId="BodyTextIndent2Char">
    <w:name w:val="Body Text Indent 2 Char"/>
    <w:link w:val="BodyTextIndent2"/>
    <w:rsid w:val="00002906"/>
    <w:rPr>
      <w:rFonts w:ascii="Arial" w:eastAsia="Calibri" w:hAnsi="Arial" w:cs="Calibri"/>
      <w:sz w:val="22"/>
      <w:szCs w:val="22"/>
      <w:lang w:eastAsia="de-DE"/>
    </w:rPr>
  </w:style>
  <w:style w:type="paragraph" w:styleId="BalloonText">
    <w:name w:val="Balloon Text"/>
    <w:basedOn w:val="Normal"/>
    <w:link w:val="BalloonTextChar"/>
    <w:rsid w:val="002572B9"/>
    <w:rPr>
      <w:rFonts w:ascii="Tahoma" w:hAnsi="Tahoma" w:cs="Tahoma"/>
      <w:sz w:val="16"/>
      <w:szCs w:val="16"/>
    </w:rPr>
  </w:style>
  <w:style w:type="character" w:customStyle="1" w:styleId="BalloonTextChar">
    <w:name w:val="Balloon Text Char"/>
    <w:basedOn w:val="DefaultParagraphFont"/>
    <w:link w:val="BalloonText"/>
    <w:rsid w:val="002572B9"/>
    <w:rPr>
      <w:rFonts w:ascii="Tahoma" w:hAnsi="Tahoma" w:cs="Tahoma"/>
      <w:sz w:val="16"/>
      <w:szCs w:val="16"/>
      <w:lang w:val="en-GB" w:eastAsia="en-US"/>
    </w:rPr>
  </w:style>
  <w:style w:type="paragraph" w:styleId="ListParagraph">
    <w:name w:val="List Paragraph"/>
    <w:basedOn w:val="Normal"/>
    <w:uiPriority w:val="34"/>
    <w:rsid w:val="00CA21C3"/>
    <w:pPr>
      <w:ind w:left="720"/>
      <w:contextualSpacing/>
    </w:pPr>
  </w:style>
  <w:style w:type="paragraph" w:customStyle="1" w:styleId="Recallings">
    <w:name w:val="Recallings"/>
    <w:basedOn w:val="BodyText"/>
    <w:rsid w:val="00B22DFE"/>
    <w:pPr>
      <w:tabs>
        <w:tab w:val="clear" w:pos="851"/>
      </w:tabs>
      <w:spacing w:before="240"/>
      <w:ind w:left="425"/>
    </w:pPr>
    <w:rPr>
      <w:rFonts w:ascii="Arial" w:eastAsia="Times New Roman" w:hAnsi="Arial" w:cs="Arial"/>
      <w:szCs w:val="24"/>
      <w:lang w:eastAsia="en-US"/>
    </w:rPr>
  </w:style>
  <w:style w:type="character" w:styleId="FootnoteReference">
    <w:name w:val="footnote reference"/>
    <w:uiPriority w:val="99"/>
    <w:rsid w:val="00B22DFE"/>
    <w:rPr>
      <w:vertAlign w:val="superscript"/>
    </w:rPr>
  </w:style>
  <w:style w:type="paragraph" w:styleId="FootnoteText">
    <w:name w:val="footnote text"/>
    <w:basedOn w:val="Normal"/>
    <w:link w:val="FootnoteTextChar"/>
    <w:uiPriority w:val="99"/>
    <w:rsid w:val="00B22DFE"/>
    <w:pPr>
      <w:tabs>
        <w:tab w:val="clear" w:pos="851"/>
      </w:tabs>
    </w:pPr>
    <w:rPr>
      <w:rFonts w:ascii="Arial" w:hAnsi="Arial" w:cs="Arial"/>
      <w:sz w:val="20"/>
      <w:lang w:eastAsia="en-GB"/>
    </w:rPr>
  </w:style>
  <w:style w:type="character" w:customStyle="1" w:styleId="FootnoteTextChar">
    <w:name w:val="Footnote Text Char"/>
    <w:basedOn w:val="DefaultParagraphFont"/>
    <w:link w:val="FootnoteText"/>
    <w:uiPriority w:val="99"/>
    <w:rsid w:val="00B22DFE"/>
    <w:rPr>
      <w:rFonts w:ascii="Arial" w:hAnsi="Arial" w:cs="Arial"/>
      <w:lang w:val="en-GB" w:eastAsia="en-GB"/>
    </w:rPr>
  </w:style>
  <w:style w:type="paragraph" w:customStyle="1" w:styleId="Appendix">
    <w:name w:val="Appendix"/>
    <w:basedOn w:val="Normal"/>
    <w:next w:val="Heading1"/>
    <w:qFormat/>
    <w:rsid w:val="005D7AB8"/>
    <w:pPr>
      <w:numPr>
        <w:numId w:val="32"/>
      </w:numPr>
      <w:tabs>
        <w:tab w:val="clear" w:pos="851"/>
        <w:tab w:val="left" w:pos="1985"/>
      </w:tabs>
      <w:spacing w:after="240"/>
      <w:ind w:left="1985" w:hanging="1985"/>
    </w:pPr>
    <w:rPr>
      <w:rFonts w:ascii="Arial" w:hAnsi="Arial" w:cs="Arial"/>
      <w:b/>
      <w:sz w:val="24"/>
      <w:szCs w:val="28"/>
      <w:lang w:eastAsia="en-GB"/>
    </w:rPr>
  </w:style>
  <w:style w:type="character" w:styleId="Hyperlink">
    <w:name w:val="Hyperlink"/>
    <w:uiPriority w:val="99"/>
    <w:rsid w:val="005D7AB8"/>
    <w:rPr>
      <w:color w:val="0000FF"/>
      <w:u w:val="single"/>
    </w:rPr>
  </w:style>
  <w:style w:type="paragraph" w:customStyle="1" w:styleId="AppendixHeading1">
    <w:name w:val="Appendix Heading 1"/>
    <w:basedOn w:val="Normal"/>
    <w:next w:val="BodyText"/>
    <w:rsid w:val="005D7AB8"/>
    <w:pPr>
      <w:numPr>
        <w:numId w:val="33"/>
      </w:numPr>
      <w:tabs>
        <w:tab w:val="clear" w:pos="851"/>
      </w:tabs>
      <w:spacing w:before="120" w:after="120"/>
    </w:pPr>
    <w:rPr>
      <w:rFonts w:ascii="Arial" w:eastAsia="Calibri" w:hAnsi="Arial" w:cs="Arial"/>
      <w:b/>
      <w:caps/>
      <w:sz w:val="24"/>
      <w:szCs w:val="22"/>
      <w:lang w:eastAsia="en-GB"/>
    </w:rPr>
  </w:style>
  <w:style w:type="paragraph" w:customStyle="1" w:styleId="AppendixHeading2">
    <w:name w:val="Appendix Heading 2"/>
    <w:basedOn w:val="Normal"/>
    <w:next w:val="BodyText"/>
    <w:qFormat/>
    <w:rsid w:val="005D7AB8"/>
    <w:pPr>
      <w:numPr>
        <w:ilvl w:val="1"/>
        <w:numId w:val="33"/>
      </w:numPr>
      <w:spacing w:before="120" w:after="120"/>
    </w:pPr>
    <w:rPr>
      <w:rFonts w:ascii="Arial" w:eastAsia="Calibri" w:hAnsi="Arial" w:cs="Arial"/>
      <w:b/>
      <w:szCs w:val="22"/>
      <w:lang w:eastAsia="en-GB"/>
    </w:rPr>
  </w:style>
  <w:style w:type="paragraph" w:customStyle="1" w:styleId="AppendixHeading3">
    <w:name w:val="Appendix Heading 3"/>
    <w:basedOn w:val="Normal"/>
    <w:next w:val="Normal"/>
    <w:rsid w:val="005D7AB8"/>
    <w:pPr>
      <w:numPr>
        <w:ilvl w:val="2"/>
        <w:numId w:val="33"/>
      </w:numPr>
      <w:tabs>
        <w:tab w:val="clear" w:pos="851"/>
      </w:tabs>
      <w:spacing w:before="120" w:after="120"/>
    </w:pPr>
    <w:rPr>
      <w:rFonts w:ascii="Arial" w:eastAsia="Calibri" w:hAnsi="Arial" w:cs="Arial"/>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ana.org/assignments/urn-namespaces/urn-namespaces.x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s1.org/docs/epc/epcis_1_1-standard-20140520.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yle\IALA\Templates\Committee%20general%20templates\Liaison%20Internal%20Committee%20Liaison%20Note_Feb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Liaison Internal Committee Liaison Note_Feb13</Template>
  <TotalTime>0</TotalTime>
  <Pages>2</Pages>
  <Words>4011</Words>
  <Characters>22864</Characters>
  <Application>Microsoft Office Word</Application>
  <DocSecurity>0</DocSecurity>
  <Lines>190</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Liaison note from ANM to ANIS Working Group</vt:lpstr>
      <vt:lpstr>Liaison note from ANM to ANIS Working Group</vt:lpstr>
    </vt:vector>
  </TitlesOfParts>
  <Company>DFO-MPO</Company>
  <LinksUpToDate>false</LinksUpToDate>
  <CharactersWithSpaces>26822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Liaison note from ANM to ANIS Working Group</dc:title>
  <dc:creator>Seamus Doyle</dc:creator>
  <cp:lastModifiedBy>Hosken</cp:lastModifiedBy>
  <cp:revision>2</cp:revision>
  <cp:lastPrinted>2006-10-19T11:49:00Z</cp:lastPrinted>
  <dcterms:created xsi:type="dcterms:W3CDTF">2016-03-22T12:20:00Z</dcterms:created>
  <dcterms:modified xsi:type="dcterms:W3CDTF">2016-03-22T12:20:00Z</dcterms:modified>
</cp:coreProperties>
</file>