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ED6648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  <w:r w:rsidR="003253C7"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>6</w:t>
      </w:r>
      <w:proofErr w:type="gramEnd"/>
      <w:r w:rsidR="004F5A06"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>-</w:t>
      </w:r>
      <w:r w:rsidR="00480185">
        <w:rPr>
          <w:rFonts w:ascii="Arial Narrow" w:hAnsi="Arial Narrow"/>
          <w:b/>
          <w:sz w:val="22"/>
          <w:szCs w:val="22"/>
          <w:bdr w:val="single" w:sz="4" w:space="0" w:color="auto"/>
        </w:rPr>
        <w:t>0</w:t>
      </w:r>
      <w:r w:rsidR="00ED6648" w:rsidRPr="00ED6648">
        <w:rPr>
          <w:rFonts w:ascii="Arial Narrow" w:hAnsi="Arial Narrow"/>
          <w:b/>
          <w:sz w:val="22"/>
          <w:szCs w:val="22"/>
          <w:bdr w:val="single" w:sz="4" w:space="0" w:color="auto"/>
        </w:rPr>
        <w:t>9.2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</w:t>
      </w:r>
      <w:r w:rsidR="00C95ED3" w:rsidRPr="00C95ED3">
        <w:rPr>
          <w:szCs w:val="22"/>
        </w:rPr>
        <w:t>Revisions to Mariners’ Routeing Guides (S-49)</w:t>
      </w:r>
      <w:r w:rsidRPr="00C95ED3">
        <w:rPr>
          <w:szCs w:val="22"/>
        </w:rPr>
        <w:t>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68555A" w:rsidRDefault="003D0D49" w:rsidP="004F5A06">
            <w:pPr>
              <w:rPr>
                <w:rFonts w:ascii="Arial Narrow" w:hAnsi="Arial Narrow"/>
                <w:color w:val="FF0000"/>
                <w:sz w:val="22"/>
                <w:szCs w:val="22"/>
                <w:lang w:val="en-AU"/>
              </w:rPr>
            </w:pPr>
            <w:r w:rsidRPr="00F6413A">
              <w:rPr>
                <w:rFonts w:ascii="Arial Narrow" w:hAnsi="Arial Narrow"/>
                <w:sz w:val="22"/>
                <w:szCs w:val="22"/>
                <w:lang w:val="en-AU"/>
              </w:rPr>
              <w:t>United States (NGA)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EF6842" w:rsidRDefault="00EF6842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EF6842">
              <w:rPr>
                <w:rFonts w:ascii="Arial Narrow" w:hAnsi="Arial Narrow"/>
                <w:sz w:val="22"/>
                <w:szCs w:val="22"/>
                <w:lang w:val="en-AU"/>
              </w:rPr>
              <w:t>Discussion of proposed revisions to the Mariners’ Routing Guide</w:t>
            </w:r>
            <w:r w:rsidR="007C6F0F">
              <w:rPr>
                <w:rFonts w:ascii="Arial Narrow" w:hAnsi="Arial Narrow"/>
                <w:sz w:val="22"/>
                <w:szCs w:val="22"/>
                <w:lang w:val="en-AU"/>
              </w:rPr>
              <w:t>s</w:t>
            </w:r>
            <w:r w:rsidRPr="00EF6842">
              <w:rPr>
                <w:rFonts w:ascii="Arial Narrow" w:hAnsi="Arial Narrow"/>
                <w:sz w:val="22"/>
                <w:szCs w:val="22"/>
                <w:lang w:val="en-AU"/>
              </w:rPr>
              <w:t xml:space="preserve"> (S-49)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Default="00245237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NIPWG 5-08.6</w:t>
            </w:r>
            <w:r w:rsidR="003D0D49" w:rsidRPr="00245237">
              <w:rPr>
                <w:rFonts w:ascii="Arial Narrow" w:hAnsi="Arial Narrow"/>
                <w:color w:val="FF0000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Global 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Clearance Management (UKCM) Systems</w:t>
            </w:r>
          </w:p>
          <w:p w:rsidR="006E7378" w:rsidRPr="006E7378" w:rsidRDefault="006E7378" w:rsidP="004F5A06">
            <w:pPr>
              <w:rPr>
                <w:rFonts w:ascii="Arial Narrow" w:hAnsi="Arial Narrow"/>
                <w:sz w:val="6"/>
                <w:szCs w:val="6"/>
                <w:lang w:val="en-AU"/>
              </w:rPr>
            </w:pPr>
          </w:p>
          <w:p w:rsidR="003D0D49" w:rsidRDefault="003D0D49" w:rsidP="0024523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NIPWG</w:t>
            </w:r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6</w:t>
            </w:r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>-09.1</w:t>
            </w:r>
            <w:r w:rsidRPr="00245237">
              <w:rPr>
                <w:rFonts w:ascii="Arial Narrow" w:hAnsi="Arial Narrow"/>
                <w:color w:val="FF0000"/>
                <w:sz w:val="22"/>
                <w:szCs w:val="22"/>
                <w:lang w:val="en-AU"/>
              </w:rPr>
              <w:t xml:space="preserve"> </w:t>
            </w:r>
            <w:r w:rsidR="00245237" w:rsidRPr="00245237">
              <w:rPr>
                <w:rFonts w:ascii="Arial Narrow" w:hAnsi="Arial Narrow"/>
                <w:sz w:val="22"/>
                <w:szCs w:val="22"/>
                <w:lang w:val="en-AU"/>
              </w:rPr>
              <w:t xml:space="preserve">Proposed 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Definitions</w:t>
            </w:r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 xml:space="preserve"> for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 xml:space="preserve"> Clearance Management (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>UKCM</w:t>
            </w:r>
            <w:r w:rsidR="00245237">
              <w:rPr>
                <w:rFonts w:ascii="Arial Narrow" w:hAnsi="Arial Narrow"/>
                <w:sz w:val="22"/>
                <w:szCs w:val="22"/>
                <w:lang w:val="en-AU"/>
              </w:rPr>
              <w:t>)</w:t>
            </w: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Systems</w:t>
            </w:r>
          </w:p>
          <w:p w:rsidR="006E7378" w:rsidRPr="006E7378" w:rsidRDefault="006E7378" w:rsidP="00245237">
            <w:pPr>
              <w:rPr>
                <w:rFonts w:ascii="Arial Narrow" w:hAnsi="Arial Narrow"/>
                <w:sz w:val="6"/>
                <w:szCs w:val="6"/>
                <w:lang w:val="en-AU"/>
              </w:rPr>
            </w:pPr>
          </w:p>
          <w:p w:rsidR="001C7F97" w:rsidRDefault="001D40DA" w:rsidP="00245237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NIPWG Letter 5/2018</w:t>
            </w:r>
            <w:r w:rsidR="00CE3137">
              <w:rPr>
                <w:rFonts w:ascii="Arial Narrow" w:hAnsi="Arial Narrow"/>
                <w:sz w:val="22"/>
                <w:szCs w:val="22"/>
                <w:lang w:val="en-AU"/>
              </w:rPr>
              <w:t xml:space="preserve"> Standardization of Mariners’ Routeing Guide</w:t>
            </w:r>
            <w:r w:rsidR="00480185">
              <w:rPr>
                <w:rFonts w:ascii="Arial Narrow" w:hAnsi="Arial Narrow"/>
                <w:sz w:val="22"/>
                <w:szCs w:val="22"/>
                <w:lang w:val="en-AU"/>
              </w:rPr>
              <w:t>s</w:t>
            </w:r>
            <w:r w:rsidR="00CE3137">
              <w:rPr>
                <w:rFonts w:ascii="Arial Narrow" w:hAnsi="Arial Narrow"/>
                <w:sz w:val="22"/>
                <w:szCs w:val="22"/>
                <w:lang w:val="en-AU"/>
              </w:rPr>
              <w:t xml:space="preserve"> (S-49)</w:t>
            </w:r>
          </w:p>
          <w:p w:rsidR="006E7378" w:rsidRPr="006E7378" w:rsidRDefault="006E7378" w:rsidP="00245237">
            <w:pPr>
              <w:rPr>
                <w:rFonts w:ascii="Arial Narrow" w:hAnsi="Arial Narrow"/>
                <w:sz w:val="6"/>
                <w:szCs w:val="6"/>
                <w:lang w:val="en-AU"/>
              </w:rPr>
            </w:pPr>
          </w:p>
          <w:p w:rsidR="006B035E" w:rsidRPr="00F543C9" w:rsidRDefault="006B035E" w:rsidP="006E737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IHO Resolution 2/2007</w:t>
            </w:r>
            <w:r w:rsidR="00DE2A8C">
              <w:rPr>
                <w:rFonts w:ascii="Arial Narrow" w:hAnsi="Arial Narrow"/>
                <w:sz w:val="22"/>
                <w:szCs w:val="22"/>
                <w:lang w:val="en-AU"/>
              </w:rPr>
              <w:t xml:space="preserve"> 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Principles </w:t>
            </w:r>
            <w:r w:rsidR="00DE2A8C">
              <w:rPr>
                <w:rFonts w:ascii="Arial Narrow" w:hAnsi="Arial Narrow"/>
                <w:bCs/>
                <w:sz w:val="22"/>
                <w:szCs w:val="22"/>
              </w:rPr>
              <w:t>a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nd Procedures </w:t>
            </w:r>
            <w:r w:rsidR="006E7378">
              <w:rPr>
                <w:rFonts w:ascii="Arial Narrow" w:hAnsi="Arial Narrow"/>
                <w:bCs/>
                <w:sz w:val="22"/>
                <w:szCs w:val="22"/>
              </w:rPr>
              <w:t>f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or Making Changes </w:t>
            </w:r>
            <w:r w:rsidR="00DE2A8C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o </w:t>
            </w:r>
            <w:r w:rsidR="00DE2A8C">
              <w:rPr>
                <w:rFonts w:ascii="Arial Narrow" w:hAnsi="Arial Narrow"/>
                <w:bCs/>
                <w:sz w:val="22"/>
                <w:szCs w:val="22"/>
              </w:rPr>
              <w:t>IHO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 Technical Standards </w:t>
            </w:r>
            <w:r w:rsidR="00DE2A8C">
              <w:rPr>
                <w:rFonts w:ascii="Arial Narrow" w:hAnsi="Arial Narrow"/>
                <w:bCs/>
                <w:sz w:val="22"/>
                <w:szCs w:val="22"/>
              </w:rPr>
              <w:t>a</w:t>
            </w:r>
            <w:r w:rsidR="00DE2A8C" w:rsidRPr="00DE2A8C">
              <w:rPr>
                <w:rFonts w:ascii="Arial Narrow" w:hAnsi="Arial Narrow"/>
                <w:bCs/>
                <w:sz w:val="22"/>
                <w:szCs w:val="22"/>
              </w:rPr>
              <w:t xml:space="preserve">nd Specifications 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Default="003D0D49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Marine Traffic Management (S-127)</w:t>
            </w:r>
          </w:p>
          <w:p w:rsidR="003D0D49" w:rsidRPr="00F543C9" w:rsidRDefault="003D0D49" w:rsidP="003D0D49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  <w:lang w:val="en-AU"/>
              </w:rPr>
              <w:t>Underkeel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 Clearance Management (UKCM) Systems (S-129)</w:t>
            </w:r>
          </w:p>
        </w:tc>
      </w:tr>
    </w:tbl>
    <w:p w:rsidR="00245237" w:rsidRPr="00846CE3" w:rsidRDefault="004F5A06" w:rsidP="00846CE3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3D0D49" w:rsidRPr="00DD0C06" w:rsidRDefault="00245237" w:rsidP="00245237">
      <w:pPr>
        <w:rPr>
          <w:rFonts w:ascii="Arial Narrow" w:hAnsi="Arial Narrow"/>
          <w:sz w:val="22"/>
          <w:szCs w:val="22"/>
        </w:rPr>
      </w:pPr>
      <w:r w:rsidRPr="0068555A">
        <w:rPr>
          <w:rFonts w:ascii="Arial Narrow" w:hAnsi="Arial Narrow"/>
          <w:sz w:val="22"/>
          <w:szCs w:val="22"/>
        </w:rPr>
        <w:t xml:space="preserve">The S-100 Working Group </w:t>
      </w:r>
      <w:proofErr w:type="spellStart"/>
      <w:r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Pr="0068555A">
        <w:rPr>
          <w:rFonts w:ascii="Arial Narrow" w:hAnsi="Arial Narrow"/>
          <w:sz w:val="22"/>
          <w:szCs w:val="22"/>
        </w:rPr>
        <w:t xml:space="preserve"> Clearance Management Project Team (UKCMPT) requested NIPWG to include </w:t>
      </w:r>
      <w:proofErr w:type="spellStart"/>
      <w:r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Pr="0068555A">
        <w:rPr>
          <w:rFonts w:ascii="Arial Narrow" w:hAnsi="Arial Narrow"/>
          <w:sz w:val="22"/>
          <w:szCs w:val="22"/>
        </w:rPr>
        <w:t xml:space="preserve"> clearance and </w:t>
      </w:r>
      <w:proofErr w:type="spellStart"/>
      <w:proofErr w:type="gramStart"/>
      <w:r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Pr="0068555A">
        <w:rPr>
          <w:rFonts w:ascii="Arial Narrow" w:hAnsi="Arial Narrow"/>
          <w:sz w:val="22"/>
          <w:szCs w:val="22"/>
        </w:rPr>
        <w:t xml:space="preserve"> clearance management system information</w:t>
      </w:r>
      <w:proofErr w:type="gramEnd"/>
      <w:r w:rsidRPr="0068555A">
        <w:rPr>
          <w:rFonts w:ascii="Arial Narrow" w:hAnsi="Arial Narrow"/>
          <w:sz w:val="22"/>
          <w:szCs w:val="22"/>
        </w:rPr>
        <w:t xml:space="preserve"> in the Marine Traffic Management (S-127) Test Data Set.</w:t>
      </w:r>
      <w:r w:rsidR="00DD0C06">
        <w:rPr>
          <w:rFonts w:ascii="Arial Narrow" w:hAnsi="Arial Narrow"/>
          <w:sz w:val="22"/>
          <w:szCs w:val="22"/>
        </w:rPr>
        <w:t xml:space="preserve"> </w:t>
      </w:r>
      <w:r w:rsidRPr="0068555A">
        <w:rPr>
          <w:rFonts w:ascii="Arial Narrow" w:hAnsi="Arial Narrow"/>
          <w:sz w:val="22"/>
          <w:szCs w:val="22"/>
        </w:rPr>
        <w:t xml:space="preserve">NIPWG </w:t>
      </w:r>
      <w:r w:rsidR="00DD0C06">
        <w:rPr>
          <w:rFonts w:ascii="Arial Narrow" w:hAnsi="Arial Narrow"/>
          <w:sz w:val="22"/>
          <w:szCs w:val="22"/>
        </w:rPr>
        <w:t xml:space="preserve">responded to this request and </w:t>
      </w:r>
      <w:r w:rsidRPr="0068555A">
        <w:rPr>
          <w:rFonts w:ascii="Arial Narrow" w:hAnsi="Arial Narrow"/>
          <w:sz w:val="22"/>
          <w:szCs w:val="22"/>
        </w:rPr>
        <w:t xml:space="preserve">added the </w:t>
      </w:r>
      <w:proofErr w:type="spellStart"/>
      <w:r w:rsidRPr="0068555A">
        <w:rPr>
          <w:rFonts w:ascii="Arial Narrow" w:hAnsi="Arial Narrow"/>
          <w:sz w:val="22"/>
          <w:szCs w:val="22"/>
        </w:rPr>
        <w:t>Jussland</w:t>
      </w:r>
      <w:proofErr w:type="spellEnd"/>
      <w:r w:rsidRPr="0068555A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Pr="0068555A">
        <w:rPr>
          <w:rFonts w:ascii="Arial Narrow" w:hAnsi="Arial Narrow"/>
          <w:sz w:val="22"/>
          <w:szCs w:val="22"/>
        </w:rPr>
        <w:t xml:space="preserve"> Clearance Management System to the S-127 Test Data Set.</w:t>
      </w:r>
    </w:p>
    <w:p w:rsidR="0068555A" w:rsidRPr="006E7378" w:rsidRDefault="0068555A" w:rsidP="0068555A">
      <w:pPr>
        <w:pStyle w:val="Default"/>
        <w:rPr>
          <w:rFonts w:ascii="Arial Narrow" w:hAnsi="Arial Narrow"/>
          <w:sz w:val="18"/>
          <w:szCs w:val="18"/>
        </w:rPr>
      </w:pPr>
    </w:p>
    <w:p w:rsidR="0068555A" w:rsidRPr="0068555A" w:rsidRDefault="00DD0C06" w:rsidP="0068555A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</w:rPr>
        <w:t xml:space="preserve">During the development work on the </w:t>
      </w:r>
      <w:proofErr w:type="spellStart"/>
      <w:r>
        <w:rPr>
          <w:rFonts w:ascii="Arial Narrow" w:hAnsi="Arial Narrow"/>
          <w:sz w:val="22"/>
          <w:szCs w:val="22"/>
        </w:rPr>
        <w:t>Jussland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Underkeel</w:t>
      </w:r>
      <w:proofErr w:type="spellEnd"/>
      <w:r>
        <w:rPr>
          <w:rFonts w:ascii="Arial Narrow" w:hAnsi="Arial Narrow"/>
          <w:sz w:val="22"/>
          <w:szCs w:val="22"/>
        </w:rPr>
        <w:t xml:space="preserve"> Clearance Management System and </w:t>
      </w:r>
      <w:proofErr w:type="gramStart"/>
      <w:r>
        <w:rPr>
          <w:rFonts w:ascii="Arial Narrow" w:hAnsi="Arial Narrow"/>
          <w:sz w:val="22"/>
          <w:szCs w:val="22"/>
        </w:rPr>
        <w:t>NIPWG</w:t>
      </w:r>
      <w:proofErr w:type="gramEnd"/>
      <w:r>
        <w:rPr>
          <w:rFonts w:ascii="Arial Narrow" w:hAnsi="Arial Narrow"/>
          <w:sz w:val="22"/>
          <w:szCs w:val="22"/>
        </w:rPr>
        <w:t xml:space="preserve"> 5-08.6</w:t>
      </w:r>
      <w:r w:rsidR="001755D1">
        <w:rPr>
          <w:rFonts w:ascii="Arial Narrow" w:hAnsi="Arial Narrow"/>
          <w:sz w:val="22"/>
          <w:szCs w:val="22"/>
        </w:rPr>
        <w:t xml:space="preserve"> it was noted no</w:t>
      </w:r>
      <w:r w:rsidR="00F6413A">
        <w:rPr>
          <w:rFonts w:ascii="Arial Narrow" w:hAnsi="Arial Narrow"/>
          <w:sz w:val="22"/>
          <w:szCs w:val="22"/>
        </w:rPr>
        <w:t xml:space="preserve"> official definitions</w:t>
      </w:r>
      <w:r w:rsidR="0068555A" w:rsidRPr="0068555A">
        <w:rPr>
          <w:rFonts w:ascii="Arial Narrow" w:hAnsi="Arial Narrow"/>
          <w:sz w:val="22"/>
          <w:szCs w:val="22"/>
        </w:rPr>
        <w:t xml:space="preserve"> for </w:t>
      </w:r>
      <w:proofErr w:type="spellStart"/>
      <w:r w:rsidR="0068555A"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="0068555A" w:rsidRPr="0068555A">
        <w:rPr>
          <w:rFonts w:ascii="Arial Narrow" w:hAnsi="Arial Narrow"/>
          <w:sz w:val="22"/>
          <w:szCs w:val="22"/>
        </w:rPr>
        <w:t xml:space="preserve"> clearance management systems</w:t>
      </w:r>
      <w:r w:rsidR="001755D1">
        <w:rPr>
          <w:rFonts w:ascii="Arial Narrow" w:hAnsi="Arial Narrow"/>
          <w:sz w:val="22"/>
          <w:szCs w:val="22"/>
        </w:rPr>
        <w:t xml:space="preserve"> </w:t>
      </w:r>
      <w:r w:rsidR="00F6413A">
        <w:rPr>
          <w:rFonts w:ascii="Arial Narrow" w:hAnsi="Arial Narrow"/>
          <w:sz w:val="22"/>
          <w:szCs w:val="22"/>
        </w:rPr>
        <w:t>exist</w:t>
      </w:r>
      <w:r w:rsidR="001755D1">
        <w:rPr>
          <w:rFonts w:ascii="Arial Narrow" w:hAnsi="Arial Narrow"/>
          <w:sz w:val="22"/>
          <w:szCs w:val="22"/>
        </w:rPr>
        <w:t>ed</w:t>
      </w:r>
      <w:r w:rsidR="0068555A" w:rsidRPr="0068555A">
        <w:rPr>
          <w:rFonts w:ascii="Arial Narrow" w:hAnsi="Arial Narrow"/>
          <w:sz w:val="22"/>
          <w:szCs w:val="22"/>
        </w:rPr>
        <w:t>. NIPWG</w:t>
      </w:r>
      <w:r w:rsidR="0068555A">
        <w:rPr>
          <w:rFonts w:ascii="Arial Narrow" w:hAnsi="Arial Narrow"/>
          <w:sz w:val="22"/>
          <w:szCs w:val="22"/>
        </w:rPr>
        <w:t xml:space="preserve"> </w:t>
      </w:r>
      <w:r w:rsidR="00F6413A">
        <w:rPr>
          <w:rFonts w:ascii="Arial Narrow" w:hAnsi="Arial Narrow"/>
          <w:sz w:val="22"/>
          <w:szCs w:val="22"/>
        </w:rPr>
        <w:t xml:space="preserve">and the </w:t>
      </w:r>
      <w:r w:rsidR="0068555A">
        <w:rPr>
          <w:rFonts w:ascii="Arial Narrow" w:hAnsi="Arial Narrow"/>
          <w:sz w:val="22"/>
          <w:szCs w:val="22"/>
        </w:rPr>
        <w:t>UKCMPT</w:t>
      </w:r>
      <w:r w:rsidR="0068555A" w:rsidRPr="0068555A">
        <w:rPr>
          <w:rFonts w:ascii="Arial Narrow" w:hAnsi="Arial Narrow"/>
          <w:sz w:val="22"/>
          <w:szCs w:val="22"/>
        </w:rPr>
        <w:t xml:space="preserve"> develop</w:t>
      </w:r>
      <w:r w:rsidR="0068555A">
        <w:rPr>
          <w:rFonts w:ascii="Arial Narrow" w:hAnsi="Arial Narrow"/>
          <w:sz w:val="22"/>
          <w:szCs w:val="22"/>
        </w:rPr>
        <w:t>ed</w:t>
      </w:r>
      <w:r w:rsidR="0068555A" w:rsidRPr="0068555A">
        <w:rPr>
          <w:rFonts w:ascii="Arial Narrow" w:hAnsi="Arial Narrow"/>
          <w:sz w:val="22"/>
          <w:szCs w:val="22"/>
        </w:rPr>
        <w:t xml:space="preserve"> definitions for </w:t>
      </w:r>
      <w:proofErr w:type="spellStart"/>
      <w:r w:rsidR="0068555A"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="0068555A" w:rsidRPr="0068555A">
        <w:rPr>
          <w:rFonts w:ascii="Arial Narrow" w:hAnsi="Arial Narrow"/>
          <w:sz w:val="22"/>
          <w:szCs w:val="22"/>
        </w:rPr>
        <w:t xml:space="preserve"> Clearance Management System, Static </w:t>
      </w:r>
      <w:proofErr w:type="spellStart"/>
      <w:r w:rsidR="0068555A" w:rsidRPr="0068555A">
        <w:rPr>
          <w:rFonts w:ascii="Arial Narrow" w:hAnsi="Arial Narrow"/>
          <w:sz w:val="22"/>
          <w:szCs w:val="22"/>
        </w:rPr>
        <w:t>Underke</w:t>
      </w:r>
      <w:r w:rsidR="0068555A">
        <w:rPr>
          <w:rFonts w:ascii="Arial Narrow" w:hAnsi="Arial Narrow"/>
          <w:sz w:val="22"/>
          <w:szCs w:val="22"/>
        </w:rPr>
        <w:t>el</w:t>
      </w:r>
      <w:proofErr w:type="spellEnd"/>
      <w:r w:rsidR="0068555A">
        <w:rPr>
          <w:rFonts w:ascii="Arial Narrow" w:hAnsi="Arial Narrow"/>
          <w:sz w:val="22"/>
          <w:szCs w:val="22"/>
        </w:rPr>
        <w:t xml:space="preserve"> Clearance Management System, </w:t>
      </w:r>
      <w:r w:rsidR="0068555A" w:rsidRPr="0068555A">
        <w:rPr>
          <w:rFonts w:ascii="Arial Narrow" w:hAnsi="Arial Narrow"/>
          <w:sz w:val="22"/>
          <w:szCs w:val="22"/>
        </w:rPr>
        <w:t xml:space="preserve">and Dynamic </w:t>
      </w:r>
      <w:proofErr w:type="spellStart"/>
      <w:r w:rsidR="0068555A" w:rsidRPr="0068555A">
        <w:rPr>
          <w:rFonts w:ascii="Arial Narrow" w:hAnsi="Arial Narrow"/>
          <w:sz w:val="22"/>
          <w:szCs w:val="22"/>
        </w:rPr>
        <w:t>Underkeel</w:t>
      </w:r>
      <w:proofErr w:type="spellEnd"/>
      <w:r w:rsidR="0068555A" w:rsidRPr="0068555A">
        <w:rPr>
          <w:rFonts w:ascii="Arial Narrow" w:hAnsi="Arial Narrow"/>
          <w:sz w:val="22"/>
          <w:szCs w:val="22"/>
        </w:rPr>
        <w:t xml:space="preserve"> Clearance M</w:t>
      </w:r>
      <w:r w:rsidR="0068555A">
        <w:rPr>
          <w:rFonts w:ascii="Arial Narrow" w:hAnsi="Arial Narrow"/>
          <w:sz w:val="22"/>
          <w:szCs w:val="22"/>
        </w:rPr>
        <w:t>anag</w:t>
      </w:r>
      <w:r w:rsidR="00CE3137">
        <w:rPr>
          <w:rFonts w:ascii="Arial Narrow" w:hAnsi="Arial Narrow"/>
          <w:sz w:val="22"/>
          <w:szCs w:val="22"/>
        </w:rPr>
        <w:t xml:space="preserve">ement System. </w:t>
      </w:r>
      <w:r w:rsidR="002A2D84">
        <w:rPr>
          <w:rFonts w:ascii="Arial Narrow" w:hAnsi="Arial Narrow"/>
          <w:sz w:val="22"/>
          <w:szCs w:val="22"/>
        </w:rPr>
        <w:t xml:space="preserve">After approval at </w:t>
      </w:r>
      <w:proofErr w:type="gramStart"/>
      <w:r w:rsidR="002A2D84">
        <w:rPr>
          <w:rFonts w:ascii="Arial Narrow" w:hAnsi="Arial Narrow"/>
          <w:sz w:val="22"/>
          <w:szCs w:val="22"/>
        </w:rPr>
        <w:t>NIPWG6</w:t>
      </w:r>
      <w:proofErr w:type="gramEnd"/>
      <w:r w:rsidR="002A2D84">
        <w:rPr>
          <w:rFonts w:ascii="Arial Narrow" w:hAnsi="Arial Narrow"/>
          <w:sz w:val="22"/>
          <w:szCs w:val="22"/>
        </w:rPr>
        <w:t xml:space="preserve"> t</w:t>
      </w:r>
      <w:r w:rsidR="00CE3137">
        <w:rPr>
          <w:rFonts w:ascii="Arial Narrow" w:hAnsi="Arial Narrow"/>
          <w:sz w:val="22"/>
          <w:szCs w:val="22"/>
        </w:rPr>
        <w:t xml:space="preserve">he new definitions will be submitted </w:t>
      </w:r>
      <w:r w:rsidR="0068555A">
        <w:rPr>
          <w:rFonts w:ascii="Arial Narrow" w:hAnsi="Arial Narrow"/>
          <w:sz w:val="22"/>
          <w:szCs w:val="22"/>
        </w:rPr>
        <w:t xml:space="preserve">to the Hydrographic Dictionary Working Group for </w:t>
      </w:r>
      <w:r w:rsidR="002A2D84">
        <w:rPr>
          <w:rFonts w:ascii="Arial Narrow" w:hAnsi="Arial Narrow"/>
          <w:sz w:val="22"/>
          <w:szCs w:val="22"/>
        </w:rPr>
        <w:t xml:space="preserve">eventual </w:t>
      </w:r>
      <w:r w:rsidR="0068555A">
        <w:rPr>
          <w:rFonts w:ascii="Arial Narrow" w:hAnsi="Arial Narrow"/>
          <w:sz w:val="22"/>
          <w:szCs w:val="22"/>
        </w:rPr>
        <w:t>inclusion in the Hydrographic Dictionary (S-32)</w:t>
      </w:r>
      <w:r w:rsidR="0068555A" w:rsidRPr="0068555A">
        <w:rPr>
          <w:rFonts w:ascii="Arial Narrow" w:hAnsi="Arial Narrow"/>
          <w:sz w:val="22"/>
          <w:szCs w:val="22"/>
        </w:rPr>
        <w:t>.</w:t>
      </w:r>
    </w:p>
    <w:p w:rsidR="00245237" w:rsidRPr="006E7378" w:rsidRDefault="00245237" w:rsidP="00245237">
      <w:pPr>
        <w:rPr>
          <w:rFonts w:ascii="Arial Narrow" w:hAnsi="Arial Narrow"/>
          <w:sz w:val="18"/>
          <w:szCs w:val="18"/>
          <w:lang w:val="en-AU"/>
        </w:rPr>
      </w:pPr>
    </w:p>
    <w:p w:rsidR="003D0D49" w:rsidRPr="00F543C9" w:rsidRDefault="00F6413A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The N</w:t>
      </w:r>
      <w:r w:rsidR="003D0D49" w:rsidRPr="0068555A">
        <w:rPr>
          <w:rFonts w:ascii="Arial Narrow" w:hAnsi="Arial Narrow"/>
          <w:sz w:val="22"/>
          <w:szCs w:val="22"/>
          <w:lang w:val="en-AU"/>
        </w:rPr>
        <w:t xml:space="preserve">IPWG Chair </w:t>
      </w:r>
      <w:r w:rsidR="00245237" w:rsidRPr="0068555A">
        <w:rPr>
          <w:rFonts w:ascii="Arial Narrow" w:hAnsi="Arial Narrow"/>
          <w:sz w:val="22"/>
          <w:szCs w:val="22"/>
          <w:lang w:val="en-AU"/>
        </w:rPr>
        <w:t>requested a determination</w:t>
      </w:r>
      <w:r>
        <w:rPr>
          <w:rFonts w:ascii="Arial Narrow" w:hAnsi="Arial Narrow"/>
          <w:sz w:val="22"/>
          <w:szCs w:val="22"/>
          <w:lang w:val="en-AU"/>
        </w:rPr>
        <w:t xml:space="preserve"> o</w:t>
      </w:r>
      <w:r w:rsidR="001D40DA">
        <w:rPr>
          <w:rFonts w:ascii="Arial Narrow" w:hAnsi="Arial Narrow"/>
          <w:sz w:val="22"/>
          <w:szCs w:val="22"/>
          <w:lang w:val="en-AU"/>
        </w:rPr>
        <w:t>f</w:t>
      </w:r>
      <w:r>
        <w:rPr>
          <w:rFonts w:ascii="Arial Narrow" w:hAnsi="Arial Narrow"/>
          <w:sz w:val="22"/>
          <w:szCs w:val="22"/>
          <w:lang w:val="en-AU"/>
        </w:rPr>
        <w:t xml:space="preserve"> the effects, if any,</w:t>
      </w:r>
      <w:r w:rsidR="003D0D49" w:rsidRPr="0068555A">
        <w:rPr>
          <w:rFonts w:ascii="Arial Narrow" w:hAnsi="Arial Narrow"/>
          <w:sz w:val="22"/>
          <w:szCs w:val="22"/>
          <w:lang w:val="en-AU"/>
        </w:rPr>
        <w:t xml:space="preserve"> </w:t>
      </w:r>
      <w:r>
        <w:rPr>
          <w:rFonts w:ascii="Arial Narrow" w:hAnsi="Arial Narrow"/>
          <w:sz w:val="22"/>
          <w:szCs w:val="22"/>
          <w:lang w:val="en-AU"/>
        </w:rPr>
        <w:t>o</w:t>
      </w:r>
      <w:r w:rsidR="003D0D49" w:rsidRPr="0068555A">
        <w:rPr>
          <w:rFonts w:ascii="Arial Narrow" w:hAnsi="Arial Narrow"/>
          <w:sz w:val="22"/>
          <w:szCs w:val="22"/>
          <w:lang w:val="en-AU"/>
        </w:rPr>
        <w:t xml:space="preserve">f </w:t>
      </w:r>
      <w:r w:rsidR="0068555A">
        <w:rPr>
          <w:rFonts w:ascii="Arial Narrow" w:hAnsi="Arial Narrow"/>
          <w:sz w:val="22"/>
          <w:szCs w:val="22"/>
          <w:lang w:val="en-AU"/>
        </w:rPr>
        <w:t xml:space="preserve">the new </w:t>
      </w:r>
      <w:r w:rsidR="003D0D49" w:rsidRPr="0068555A">
        <w:rPr>
          <w:rFonts w:ascii="Arial Narrow" w:hAnsi="Arial Narrow"/>
          <w:sz w:val="22"/>
          <w:szCs w:val="22"/>
          <w:lang w:val="en-AU"/>
        </w:rPr>
        <w:t xml:space="preserve">UKCM System definitions </w:t>
      </w:r>
      <w:r>
        <w:rPr>
          <w:rFonts w:ascii="Arial Narrow" w:hAnsi="Arial Narrow"/>
          <w:sz w:val="22"/>
          <w:szCs w:val="22"/>
          <w:lang w:val="en-AU"/>
        </w:rPr>
        <w:t>on the</w:t>
      </w:r>
      <w:bookmarkStart w:id="0" w:name="CurrentCursorPosition"/>
      <w:bookmarkEnd w:id="0"/>
      <w:r w:rsidR="003D0D49" w:rsidRPr="0068555A">
        <w:rPr>
          <w:rFonts w:ascii="Arial Narrow" w:hAnsi="Arial Narrow"/>
          <w:sz w:val="22"/>
          <w:szCs w:val="22"/>
          <w:lang w:val="en-AU"/>
        </w:rPr>
        <w:t xml:space="preserve"> Mariners’ Routeing Guides (S-49).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6E7378">
        <w:rPr>
          <w:sz w:val="18"/>
          <w:szCs w:val="18"/>
        </w:rPr>
        <w:t>Analysis</w:t>
      </w:r>
      <w:r w:rsidR="00185399">
        <w:rPr>
          <w:szCs w:val="22"/>
        </w:rPr>
        <w:t xml:space="preserve"> </w:t>
      </w:r>
      <w:r w:rsidRPr="00F543C9">
        <w:rPr>
          <w:szCs w:val="22"/>
        </w:rPr>
        <w:t>/</w:t>
      </w:r>
      <w:r w:rsidR="00185399">
        <w:rPr>
          <w:szCs w:val="22"/>
        </w:rPr>
        <w:t xml:space="preserve"> </w:t>
      </w:r>
      <w:r w:rsidRPr="00F543C9">
        <w:rPr>
          <w:szCs w:val="22"/>
        </w:rPr>
        <w:t>Discussion</w:t>
      </w:r>
    </w:p>
    <w:p w:rsidR="009D3EF6" w:rsidRDefault="006D4731" w:rsidP="009D3EF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S-49 (</w:t>
      </w:r>
      <w:r w:rsidR="009D3EF6">
        <w:rPr>
          <w:rFonts w:ascii="Arial Narrow" w:hAnsi="Arial Narrow"/>
          <w:sz w:val="22"/>
          <w:szCs w:val="22"/>
          <w:lang w:val="en-AU"/>
        </w:rPr>
        <w:t>Edition 2.0.0</w:t>
      </w:r>
      <w:r>
        <w:rPr>
          <w:rFonts w:ascii="Arial Narrow" w:hAnsi="Arial Narrow"/>
          <w:sz w:val="22"/>
          <w:szCs w:val="22"/>
          <w:lang w:val="en-AU"/>
        </w:rPr>
        <w:t xml:space="preserve">) </w:t>
      </w:r>
      <w:proofErr w:type="gramStart"/>
      <w:r w:rsidR="009D3EF6">
        <w:rPr>
          <w:rFonts w:ascii="Arial Narrow" w:hAnsi="Arial Narrow"/>
          <w:sz w:val="22"/>
          <w:szCs w:val="22"/>
          <w:lang w:val="en-AU"/>
        </w:rPr>
        <w:t xml:space="preserve">was prepared in 2009 by </w:t>
      </w:r>
      <w:r w:rsidR="005311C7">
        <w:rPr>
          <w:rFonts w:ascii="Arial Narrow" w:hAnsi="Arial Narrow"/>
          <w:sz w:val="22"/>
          <w:szCs w:val="22"/>
          <w:lang w:val="en-AU"/>
        </w:rPr>
        <w:t xml:space="preserve">the </w:t>
      </w:r>
      <w:r w:rsidR="009D3EF6">
        <w:rPr>
          <w:rFonts w:ascii="Arial Narrow" w:hAnsi="Arial Narrow"/>
          <w:sz w:val="22"/>
          <w:szCs w:val="22"/>
          <w:lang w:val="en-AU"/>
        </w:rPr>
        <w:t xml:space="preserve">Chart Standardization and Paper Chart Working </w:t>
      </w:r>
      <w:r w:rsidR="00480185">
        <w:rPr>
          <w:rFonts w:ascii="Arial Narrow" w:hAnsi="Arial Narrow"/>
          <w:sz w:val="22"/>
          <w:szCs w:val="22"/>
          <w:lang w:val="en-AU"/>
        </w:rPr>
        <w:t xml:space="preserve">Group </w:t>
      </w:r>
      <w:r w:rsidR="009D3EF6">
        <w:rPr>
          <w:rFonts w:ascii="Arial Narrow" w:hAnsi="Arial Narrow"/>
          <w:sz w:val="22"/>
          <w:szCs w:val="22"/>
          <w:lang w:val="en-AU"/>
        </w:rPr>
        <w:t>(CSPCWG), now known as Nautical Cartography Working Group (NCWG), and issued in 2010</w:t>
      </w:r>
      <w:proofErr w:type="gramEnd"/>
      <w:r w:rsidR="009D3EF6">
        <w:rPr>
          <w:rFonts w:ascii="Arial Narrow" w:hAnsi="Arial Narrow"/>
          <w:sz w:val="22"/>
          <w:szCs w:val="22"/>
          <w:lang w:val="en-AU"/>
        </w:rPr>
        <w:t xml:space="preserve">. This occurred prior to the implementation of the </w:t>
      </w:r>
      <w:proofErr w:type="spellStart"/>
      <w:r w:rsidR="009D3EF6">
        <w:rPr>
          <w:rFonts w:ascii="Arial Narrow" w:hAnsi="Arial Narrow"/>
          <w:sz w:val="22"/>
          <w:szCs w:val="22"/>
          <w:lang w:val="en-AU"/>
        </w:rPr>
        <w:t>Underkeel</w:t>
      </w:r>
      <w:proofErr w:type="spellEnd"/>
      <w:r w:rsidR="009D3EF6">
        <w:rPr>
          <w:rFonts w:ascii="Arial Narrow" w:hAnsi="Arial Narrow"/>
          <w:sz w:val="22"/>
          <w:szCs w:val="22"/>
          <w:lang w:val="en-AU"/>
        </w:rPr>
        <w:t xml:space="preserve"> Clearance Management System in the Torres Strait (Australia—2011) and the St. Lawrence Seaway Draft Information System (Canada—2012).</w:t>
      </w:r>
    </w:p>
    <w:p w:rsidR="009D3EF6" w:rsidRPr="006E7378" w:rsidRDefault="009D3EF6" w:rsidP="009D3EF6">
      <w:pPr>
        <w:rPr>
          <w:rFonts w:ascii="Arial Narrow" w:hAnsi="Arial Narrow"/>
          <w:sz w:val="18"/>
          <w:szCs w:val="18"/>
          <w:lang w:val="en-AU"/>
        </w:rPr>
      </w:pPr>
    </w:p>
    <w:p w:rsidR="00736E0B" w:rsidRDefault="00245237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NIPWG is </w:t>
      </w:r>
      <w:r w:rsidR="004D1C82">
        <w:rPr>
          <w:rFonts w:ascii="Arial Narrow" w:hAnsi="Arial Narrow"/>
          <w:sz w:val="22"/>
          <w:szCs w:val="22"/>
          <w:lang w:val="en-AU"/>
        </w:rPr>
        <w:t xml:space="preserve">currently </w:t>
      </w:r>
      <w:r w:rsidR="009D3EF6">
        <w:rPr>
          <w:rFonts w:ascii="Arial Narrow" w:hAnsi="Arial Narrow"/>
          <w:sz w:val="22"/>
          <w:szCs w:val="22"/>
          <w:lang w:val="en-AU"/>
        </w:rPr>
        <w:t>responsible for S-49 and investigate</w:t>
      </w:r>
      <w:r w:rsidR="00E837BD">
        <w:rPr>
          <w:rFonts w:ascii="Arial Narrow" w:hAnsi="Arial Narrow"/>
          <w:sz w:val="22"/>
          <w:szCs w:val="22"/>
          <w:lang w:val="en-AU"/>
        </w:rPr>
        <w:t>d</w:t>
      </w:r>
      <w:r w:rsidR="00736E0B">
        <w:rPr>
          <w:rFonts w:ascii="Arial Narrow" w:hAnsi="Arial Narrow"/>
          <w:sz w:val="22"/>
          <w:szCs w:val="22"/>
          <w:lang w:val="en-AU"/>
        </w:rPr>
        <w:t xml:space="preserve"> the following two </w:t>
      </w:r>
      <w:r w:rsidR="001755D1">
        <w:rPr>
          <w:rFonts w:ascii="Arial Narrow" w:hAnsi="Arial Narrow"/>
          <w:sz w:val="22"/>
          <w:szCs w:val="22"/>
          <w:lang w:val="en-AU"/>
        </w:rPr>
        <w:t>questions</w:t>
      </w:r>
      <w:r w:rsidR="00736E0B">
        <w:rPr>
          <w:rFonts w:ascii="Arial Narrow" w:hAnsi="Arial Narrow"/>
          <w:sz w:val="22"/>
          <w:szCs w:val="22"/>
          <w:lang w:val="en-AU"/>
        </w:rPr>
        <w:t xml:space="preserve"> for S-49:</w:t>
      </w:r>
    </w:p>
    <w:p w:rsidR="00736E0B" w:rsidRDefault="00736E0B" w:rsidP="00736E0B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Will the new UKCM System definitions have any effect in S-49?</w:t>
      </w:r>
    </w:p>
    <w:p w:rsidR="00736E0B" w:rsidRPr="00736E0B" w:rsidRDefault="00736E0B" w:rsidP="00736E0B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Are there other items that need to be updated (</w:t>
      </w:r>
      <w:r w:rsidR="009D3EF6">
        <w:rPr>
          <w:rFonts w:ascii="Arial Narrow" w:hAnsi="Arial Narrow"/>
          <w:sz w:val="22"/>
          <w:szCs w:val="22"/>
          <w:lang w:val="en-AU"/>
        </w:rPr>
        <w:t>ESSENTIAL</w:t>
      </w:r>
      <w:r w:rsidR="00C3266B">
        <w:rPr>
          <w:rFonts w:ascii="Arial Narrow" w:hAnsi="Arial Narrow"/>
          <w:sz w:val="22"/>
          <w:szCs w:val="22"/>
          <w:lang w:val="en-AU"/>
        </w:rPr>
        <w:t xml:space="preserve"> (E)</w:t>
      </w:r>
      <w:r w:rsidR="009D3EF6">
        <w:rPr>
          <w:rFonts w:ascii="Arial Narrow" w:hAnsi="Arial Narrow"/>
          <w:sz w:val="22"/>
          <w:szCs w:val="22"/>
          <w:lang w:val="en-AU"/>
        </w:rPr>
        <w:t>, USEFUL</w:t>
      </w:r>
      <w:r w:rsidR="00C3266B">
        <w:rPr>
          <w:rFonts w:ascii="Arial Narrow" w:hAnsi="Arial Narrow"/>
          <w:sz w:val="22"/>
          <w:szCs w:val="22"/>
          <w:lang w:val="en-AU"/>
        </w:rPr>
        <w:t xml:space="preserve"> (U)</w:t>
      </w:r>
      <w:r w:rsidR="009D3EF6">
        <w:rPr>
          <w:rFonts w:ascii="Arial Narrow" w:hAnsi="Arial Narrow"/>
          <w:sz w:val="22"/>
          <w:szCs w:val="22"/>
          <w:lang w:val="en-AU"/>
        </w:rPr>
        <w:t>, NOT APPROPRIATE</w:t>
      </w:r>
      <w:r w:rsidR="00C3266B">
        <w:rPr>
          <w:rFonts w:ascii="Arial Narrow" w:hAnsi="Arial Narrow"/>
          <w:sz w:val="22"/>
          <w:szCs w:val="22"/>
          <w:lang w:val="en-AU"/>
        </w:rPr>
        <w:t xml:space="preserve"> (N)</w:t>
      </w:r>
      <w:r w:rsidR="009D3EF6">
        <w:rPr>
          <w:rFonts w:ascii="Arial Narrow" w:hAnsi="Arial Narrow"/>
          <w:sz w:val="22"/>
          <w:szCs w:val="22"/>
          <w:lang w:val="en-AU"/>
        </w:rPr>
        <w:t>, or other sections) in S-49?</w:t>
      </w:r>
    </w:p>
    <w:p w:rsidR="00B42366" w:rsidRPr="006E7378" w:rsidRDefault="00B42366" w:rsidP="004F5A06">
      <w:pPr>
        <w:rPr>
          <w:rFonts w:ascii="Arial Narrow" w:hAnsi="Arial Narrow"/>
          <w:sz w:val="18"/>
          <w:szCs w:val="18"/>
          <w:lang w:val="en-AU"/>
        </w:rPr>
      </w:pPr>
    </w:p>
    <w:p w:rsidR="001C5969" w:rsidRDefault="00C3266B" w:rsidP="0068323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AU"/>
        </w:rPr>
      </w:pPr>
      <w:r w:rsidRPr="00C3266B">
        <w:rPr>
          <w:rFonts w:ascii="Arial Narrow" w:hAnsi="Arial Narrow"/>
          <w:b/>
          <w:sz w:val="22"/>
          <w:szCs w:val="22"/>
          <w:lang w:val="en-AU"/>
        </w:rPr>
        <w:t>Effect of new definitions.—</w:t>
      </w:r>
      <w:r w:rsidR="00683234">
        <w:rPr>
          <w:rFonts w:ascii="Arial Narrow" w:hAnsi="Arial Narrow"/>
          <w:sz w:val="22"/>
          <w:szCs w:val="22"/>
          <w:lang w:val="en-AU"/>
        </w:rPr>
        <w:t xml:space="preserve">Section E2.3 </w:t>
      </w:r>
      <w:r w:rsidR="00527199">
        <w:rPr>
          <w:rFonts w:ascii="Arial Narrow" w:hAnsi="Arial Narrow"/>
          <w:sz w:val="22"/>
          <w:szCs w:val="22"/>
          <w:lang w:val="en-AU"/>
        </w:rPr>
        <w:t xml:space="preserve">currently reads </w:t>
      </w:r>
      <w:r w:rsidR="00527199" w:rsidRPr="00683234">
        <w:rPr>
          <w:rFonts w:ascii="Arial Narrow" w:hAnsi="Arial Narrow"/>
          <w:sz w:val="22"/>
          <w:szCs w:val="22"/>
          <w:lang w:val="en-AU"/>
        </w:rPr>
        <w:t>“</w:t>
      </w:r>
      <w:proofErr w:type="spellStart"/>
      <w:r w:rsidR="00683234" w:rsidRPr="00683234">
        <w:rPr>
          <w:rFonts w:ascii="Arial Narrow" w:hAnsi="Arial Narrow" w:cs="Arial"/>
          <w:sz w:val="22"/>
          <w:szCs w:val="22"/>
          <w:lang w:eastAsia="de-DE"/>
        </w:rPr>
        <w:t>Underkeel</w:t>
      </w:r>
      <w:proofErr w:type="spellEnd"/>
      <w:r w:rsidR="00683234" w:rsidRPr="00683234">
        <w:rPr>
          <w:rFonts w:ascii="Arial Narrow" w:hAnsi="Arial Narrow" w:cs="Arial"/>
          <w:sz w:val="22"/>
          <w:szCs w:val="22"/>
          <w:lang w:eastAsia="de-DE"/>
        </w:rPr>
        <w:t xml:space="preserve"> </w:t>
      </w:r>
      <w:r w:rsidR="00683234">
        <w:rPr>
          <w:rFonts w:ascii="Arial Narrow" w:hAnsi="Arial Narrow" w:cs="Arial"/>
          <w:sz w:val="22"/>
          <w:szCs w:val="22"/>
          <w:lang w:eastAsia="de-DE"/>
        </w:rPr>
        <w:t xml:space="preserve">clearance criteria and specific </w:t>
      </w:r>
      <w:r w:rsidR="00683234" w:rsidRPr="00683234">
        <w:rPr>
          <w:rFonts w:ascii="Arial Narrow" w:hAnsi="Arial Narrow" w:cs="Arial"/>
          <w:sz w:val="22"/>
          <w:szCs w:val="22"/>
          <w:lang w:eastAsia="de-DE"/>
        </w:rPr>
        <w:t>advice to deep draught vessels (if not</w:t>
      </w:r>
      <w:r w:rsidR="00683234">
        <w:rPr>
          <w:rFonts w:ascii="Arial Narrow" w:hAnsi="Arial Narrow" w:cs="Arial"/>
          <w:sz w:val="22"/>
          <w:szCs w:val="22"/>
          <w:lang w:eastAsia="de-DE"/>
        </w:rPr>
        <w:t xml:space="preserve"> included in E2.1 or E</w:t>
      </w:r>
      <w:r w:rsidR="00683234" w:rsidRPr="00683234">
        <w:rPr>
          <w:rFonts w:ascii="Arial Narrow" w:hAnsi="Arial Narrow" w:cs="Arial"/>
          <w:sz w:val="22"/>
          <w:szCs w:val="22"/>
          <w:lang w:eastAsia="de-DE"/>
        </w:rPr>
        <w:t>2.2).</w:t>
      </w:r>
      <w:r w:rsidR="00527199" w:rsidRPr="00683234">
        <w:rPr>
          <w:rFonts w:ascii="Arial Narrow" w:hAnsi="Arial Narrow"/>
          <w:sz w:val="22"/>
          <w:szCs w:val="22"/>
          <w:lang w:val="en-AU"/>
        </w:rPr>
        <w:t xml:space="preserve">” </w:t>
      </w:r>
      <w:r w:rsidR="00527199">
        <w:rPr>
          <w:rFonts w:ascii="Arial Narrow" w:hAnsi="Arial Narrow"/>
          <w:sz w:val="22"/>
          <w:szCs w:val="22"/>
          <w:lang w:val="en-AU"/>
        </w:rPr>
        <w:t xml:space="preserve">This section needs to </w:t>
      </w:r>
      <w:proofErr w:type="gramStart"/>
      <w:r w:rsidR="00527199">
        <w:rPr>
          <w:rFonts w:ascii="Arial Narrow" w:hAnsi="Arial Narrow"/>
          <w:sz w:val="22"/>
          <w:szCs w:val="22"/>
          <w:lang w:val="en-AU"/>
        </w:rPr>
        <w:t>be revised</w:t>
      </w:r>
      <w:proofErr w:type="gramEnd"/>
      <w:r w:rsidR="00527199">
        <w:rPr>
          <w:rFonts w:ascii="Arial Narrow" w:hAnsi="Arial Narrow"/>
          <w:sz w:val="22"/>
          <w:szCs w:val="22"/>
          <w:lang w:val="en-AU"/>
        </w:rPr>
        <w:t xml:space="preserve"> to reflect the existence of Dynamic UK</w:t>
      </w:r>
      <w:r w:rsidR="001C5969">
        <w:rPr>
          <w:rFonts w:ascii="Arial Narrow" w:hAnsi="Arial Narrow"/>
          <w:sz w:val="22"/>
          <w:szCs w:val="22"/>
          <w:lang w:val="en-AU"/>
        </w:rPr>
        <w:t>CM Systems but should not name any specific UKCM Syst</w:t>
      </w:r>
      <w:r w:rsidR="006D409C">
        <w:rPr>
          <w:rFonts w:ascii="Arial Narrow" w:hAnsi="Arial Narrow"/>
          <w:sz w:val="22"/>
          <w:szCs w:val="22"/>
          <w:lang w:val="en-AU"/>
        </w:rPr>
        <w:t xml:space="preserve">em. It </w:t>
      </w:r>
      <w:proofErr w:type="gramStart"/>
      <w:r w:rsidR="006D409C">
        <w:rPr>
          <w:rFonts w:ascii="Arial Narrow" w:hAnsi="Arial Narrow"/>
          <w:sz w:val="22"/>
          <w:szCs w:val="22"/>
          <w:lang w:val="en-AU"/>
        </w:rPr>
        <w:t>is proposed</w:t>
      </w:r>
      <w:proofErr w:type="gramEnd"/>
      <w:r w:rsidR="006D409C">
        <w:rPr>
          <w:rFonts w:ascii="Arial Narrow" w:hAnsi="Arial Narrow"/>
          <w:sz w:val="22"/>
          <w:szCs w:val="22"/>
          <w:lang w:val="en-AU"/>
        </w:rPr>
        <w:t xml:space="preserve"> to revise Item B</w:t>
      </w:r>
      <w:r w:rsidR="001C5969">
        <w:rPr>
          <w:rFonts w:ascii="Arial Narrow" w:hAnsi="Arial Narrow"/>
          <w:sz w:val="22"/>
          <w:szCs w:val="22"/>
          <w:lang w:val="en-AU"/>
        </w:rPr>
        <w:t xml:space="preserve">ox </w:t>
      </w:r>
      <w:r w:rsidR="006D409C">
        <w:rPr>
          <w:rFonts w:ascii="Arial Narrow" w:hAnsi="Arial Narrow"/>
          <w:sz w:val="22"/>
          <w:szCs w:val="22"/>
          <w:lang w:val="en-AU"/>
        </w:rPr>
        <w:t xml:space="preserve">No. E2.3 </w:t>
      </w:r>
      <w:r w:rsidR="001C5969">
        <w:rPr>
          <w:rFonts w:ascii="Arial Narrow" w:hAnsi="Arial Narrow"/>
          <w:sz w:val="22"/>
          <w:szCs w:val="22"/>
          <w:lang w:val="en-AU"/>
        </w:rPr>
        <w:t>to read:</w:t>
      </w:r>
    </w:p>
    <w:p w:rsidR="003A3D3C" w:rsidRDefault="003A3D3C" w:rsidP="0068323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AU"/>
        </w:rPr>
      </w:pPr>
    </w:p>
    <w:p w:rsidR="003A3D3C" w:rsidRDefault="003A3D3C" w:rsidP="0068323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AU"/>
        </w:rPr>
      </w:pPr>
    </w:p>
    <w:p w:rsidR="003A3D3C" w:rsidRPr="00683234" w:rsidRDefault="003A3D3C" w:rsidP="00683234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eastAsia="de-DE"/>
        </w:rPr>
      </w:pPr>
    </w:p>
    <w:p w:rsidR="001C5969" w:rsidRDefault="001C5969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230"/>
      </w:tblGrid>
      <w:tr w:rsidR="001C5969" w:rsidTr="00F506DA">
        <w:tc>
          <w:tcPr>
            <w:tcW w:w="715" w:type="dxa"/>
          </w:tcPr>
          <w:p w:rsidR="001C5969" w:rsidRPr="001C5969" w:rsidRDefault="001C5969" w:rsidP="001C596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AU"/>
              </w:rPr>
            </w:pPr>
            <w:r w:rsidRPr="001C5969">
              <w:rPr>
                <w:rFonts w:ascii="Arial Narrow" w:hAnsi="Arial Narrow"/>
                <w:b/>
                <w:sz w:val="22"/>
                <w:szCs w:val="22"/>
                <w:lang w:val="en-AU"/>
              </w:rPr>
              <w:lastRenderedPageBreak/>
              <w:t>No.</w:t>
            </w:r>
          </w:p>
        </w:tc>
        <w:tc>
          <w:tcPr>
            <w:tcW w:w="4050" w:type="dxa"/>
          </w:tcPr>
          <w:p w:rsidR="001C5969" w:rsidRPr="001C5969" w:rsidRDefault="001C5969" w:rsidP="001C5969">
            <w:pPr>
              <w:jc w:val="center"/>
              <w:rPr>
                <w:rFonts w:ascii="Arial Narrow" w:hAnsi="Arial Narrow"/>
                <w:b/>
                <w:szCs w:val="22"/>
                <w:lang w:val="en-AU"/>
              </w:rPr>
            </w:pPr>
            <w:r w:rsidRPr="001C5969">
              <w:rPr>
                <w:rFonts w:ascii="Arial Narrow" w:hAnsi="Arial Narrow"/>
                <w:b/>
                <w:szCs w:val="22"/>
                <w:lang w:val="en-AU"/>
              </w:rPr>
              <w:t>Item</w:t>
            </w:r>
          </w:p>
        </w:tc>
        <w:tc>
          <w:tcPr>
            <w:tcW w:w="4230" w:type="dxa"/>
          </w:tcPr>
          <w:p w:rsidR="001C5969" w:rsidRPr="001C5969" w:rsidRDefault="001C5969" w:rsidP="001C596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AU"/>
              </w:rPr>
            </w:pPr>
            <w:r w:rsidRPr="001C5969">
              <w:rPr>
                <w:rFonts w:ascii="Arial Narrow" w:hAnsi="Arial Narrow"/>
                <w:b/>
                <w:sz w:val="22"/>
                <w:szCs w:val="22"/>
                <w:lang w:val="en-AU"/>
              </w:rPr>
              <w:t>Special comments</w:t>
            </w:r>
          </w:p>
        </w:tc>
      </w:tr>
      <w:tr w:rsidR="001C5969" w:rsidTr="00F506DA">
        <w:tc>
          <w:tcPr>
            <w:tcW w:w="715" w:type="dxa"/>
          </w:tcPr>
          <w:p w:rsidR="001C5969" w:rsidRPr="00F506DA" w:rsidRDefault="001C5969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06DA">
              <w:rPr>
                <w:rFonts w:ascii="Arial Narrow" w:hAnsi="Arial Narrow"/>
                <w:sz w:val="22"/>
                <w:szCs w:val="22"/>
                <w:lang w:val="en-AU"/>
              </w:rPr>
              <w:t>E2.3</w:t>
            </w:r>
          </w:p>
        </w:tc>
        <w:tc>
          <w:tcPr>
            <w:tcW w:w="4050" w:type="dxa"/>
          </w:tcPr>
          <w:p w:rsidR="001C5969" w:rsidRPr="00F506DA" w:rsidRDefault="001C5969" w:rsidP="001C59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eastAsia="de-DE"/>
              </w:rPr>
            </w:pPr>
            <w:proofErr w:type="spellStart"/>
            <w:r w:rsidRP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>Underkeel</w:t>
            </w:r>
            <w:proofErr w:type="spellEnd"/>
            <w:r w:rsidRP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 xml:space="preserve"> clearance criteria, including </w:t>
            </w:r>
            <w:proofErr w:type="spellStart"/>
            <w:r w:rsidRP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>Underkeel</w:t>
            </w:r>
            <w:proofErr w:type="spellEnd"/>
            <w:r w:rsidRP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 xml:space="preserve"> Clearance Management Systems, and specific advice to deep draught vessels.</w:t>
            </w:r>
          </w:p>
        </w:tc>
        <w:tc>
          <w:tcPr>
            <w:tcW w:w="4230" w:type="dxa"/>
          </w:tcPr>
          <w:p w:rsidR="001C5969" w:rsidRPr="00F506DA" w:rsidRDefault="00480185" w:rsidP="00F506DA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eastAsia="de-DE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de-DE"/>
              </w:rPr>
              <w:t>Cross-referenced to U</w:t>
            </w:r>
            <w:r w:rsidR="001C5969" w:rsidRP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>6.1. Could include diagram to show predicted squat for large vessels, examples of</w:t>
            </w:r>
            <w:r w:rsidR="00F506DA">
              <w:rPr>
                <w:rFonts w:ascii="Arial Narrow" w:hAnsi="Arial Narrow" w:cs="Arial"/>
                <w:sz w:val="22"/>
                <w:szCs w:val="22"/>
                <w:lang w:eastAsia="de-DE"/>
              </w:rPr>
              <w:t xml:space="preserve"> </w:t>
            </w:r>
            <w:r w:rsidR="001C5969" w:rsidRPr="00F506DA">
              <w:rPr>
                <w:rFonts w:ascii="Arial Narrow" w:hAnsi="Arial Narrow" w:cs="Helvetica"/>
                <w:sz w:val="22"/>
                <w:szCs w:val="22"/>
                <w:lang w:eastAsia="de-DE"/>
              </w:rPr>
              <w:t>calculations of ’Tidal Windows’, etc.</w:t>
            </w:r>
          </w:p>
        </w:tc>
      </w:tr>
    </w:tbl>
    <w:p w:rsidR="00846CE3" w:rsidRDefault="00846CE3" w:rsidP="004F5A06">
      <w:pPr>
        <w:rPr>
          <w:rFonts w:ascii="Arial Narrow" w:hAnsi="Arial Narrow"/>
          <w:sz w:val="22"/>
          <w:szCs w:val="22"/>
          <w:lang w:val="en-AU"/>
        </w:rPr>
      </w:pPr>
    </w:p>
    <w:p w:rsidR="001755D1" w:rsidRDefault="00683234" w:rsidP="0068323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b/>
          <w:sz w:val="22"/>
          <w:szCs w:val="22"/>
          <w:lang w:val="en-AU"/>
        </w:rPr>
        <w:t xml:space="preserve">Other </w:t>
      </w:r>
      <w:r w:rsidR="001755D1">
        <w:rPr>
          <w:rFonts w:ascii="Arial Narrow" w:hAnsi="Arial Narrow"/>
          <w:b/>
          <w:sz w:val="22"/>
          <w:szCs w:val="22"/>
          <w:lang w:val="en-AU"/>
        </w:rPr>
        <w:t>area of potential changes</w:t>
      </w:r>
      <w:r w:rsidRPr="001755D1">
        <w:rPr>
          <w:rFonts w:ascii="Arial Narrow" w:hAnsi="Arial Narrow"/>
          <w:b/>
          <w:sz w:val="22"/>
          <w:szCs w:val="22"/>
          <w:lang w:val="en-AU"/>
        </w:rPr>
        <w:t>.—</w:t>
      </w:r>
      <w:r w:rsidR="001755D1" w:rsidRPr="001755D1">
        <w:rPr>
          <w:rFonts w:ascii="Arial Narrow" w:hAnsi="Arial Narrow"/>
          <w:sz w:val="22"/>
          <w:szCs w:val="22"/>
          <w:lang w:val="en-AU"/>
        </w:rPr>
        <w:t xml:space="preserve">NIPWG Letter </w:t>
      </w:r>
      <w:r w:rsidR="002A2D84">
        <w:rPr>
          <w:rFonts w:ascii="Arial Narrow" w:hAnsi="Arial Narrow"/>
          <w:sz w:val="22"/>
          <w:szCs w:val="22"/>
          <w:lang w:val="en-AU"/>
        </w:rPr>
        <w:t>5-2018</w:t>
      </w:r>
      <w:r w:rsidR="001755D1" w:rsidRPr="00A83490">
        <w:rPr>
          <w:rFonts w:ascii="Arial Narrow" w:hAnsi="Arial Narrow"/>
          <w:sz w:val="22"/>
          <w:szCs w:val="22"/>
          <w:lang w:val="en-AU"/>
        </w:rPr>
        <w:t xml:space="preserve"> </w:t>
      </w:r>
      <w:proofErr w:type="gramStart"/>
      <w:r w:rsidR="001755D1" w:rsidRPr="001755D1">
        <w:rPr>
          <w:rFonts w:ascii="Arial Narrow" w:hAnsi="Arial Narrow"/>
          <w:sz w:val="22"/>
          <w:szCs w:val="22"/>
          <w:lang w:val="en-AU"/>
        </w:rPr>
        <w:t>was distributed</w:t>
      </w:r>
      <w:proofErr w:type="gramEnd"/>
      <w:r w:rsidR="001755D1" w:rsidRPr="001755D1">
        <w:rPr>
          <w:rFonts w:ascii="Arial Narrow" w:hAnsi="Arial Narrow"/>
          <w:sz w:val="22"/>
          <w:szCs w:val="22"/>
          <w:lang w:val="en-AU"/>
        </w:rPr>
        <w:t xml:space="preserve"> to the group asking for input regarding </w:t>
      </w:r>
      <w:r w:rsidR="00871D09">
        <w:rPr>
          <w:rFonts w:ascii="Arial Narrow" w:hAnsi="Arial Narrow"/>
          <w:sz w:val="22"/>
          <w:szCs w:val="22"/>
          <w:lang w:val="en-AU"/>
        </w:rPr>
        <w:t xml:space="preserve">potential </w:t>
      </w:r>
      <w:r w:rsidR="001755D1" w:rsidRPr="001755D1">
        <w:rPr>
          <w:rFonts w:ascii="Arial Narrow" w:hAnsi="Arial Narrow"/>
          <w:sz w:val="22"/>
          <w:szCs w:val="22"/>
          <w:lang w:val="en-AU"/>
        </w:rPr>
        <w:t>changes to S-49 in the following areas:</w:t>
      </w:r>
    </w:p>
    <w:p w:rsidR="001755D1" w:rsidRPr="00D75231" w:rsidRDefault="00D75231" w:rsidP="001755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/>
          <w:color w:val="FF0000"/>
          <w:sz w:val="22"/>
          <w:szCs w:val="22"/>
          <w:lang w:val="en-AU"/>
        </w:rPr>
      </w:pPr>
      <w:r w:rsidRPr="00D75231">
        <w:rPr>
          <w:rFonts w:ascii="Arial Narrow" w:hAnsi="Arial Narrow"/>
          <w:sz w:val="22"/>
          <w:szCs w:val="22"/>
        </w:rPr>
        <w:t>Is the current information in S-49 in proper E/U/N Subject Matter Categories?</w:t>
      </w:r>
    </w:p>
    <w:p w:rsidR="00D75231" w:rsidRPr="00D75231" w:rsidRDefault="00D75231" w:rsidP="001755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/>
          <w:color w:val="FF0000"/>
          <w:sz w:val="22"/>
          <w:szCs w:val="22"/>
          <w:lang w:val="en-AU"/>
        </w:rPr>
      </w:pPr>
      <w:r w:rsidRPr="00D75231">
        <w:rPr>
          <w:rFonts w:ascii="Arial Narrow" w:hAnsi="Arial Narrow"/>
          <w:sz w:val="22"/>
          <w:szCs w:val="22"/>
        </w:rPr>
        <w:t>Is any current information in S-49 in E/U/N Subject Matter Categories appropriate for deletion?</w:t>
      </w:r>
    </w:p>
    <w:p w:rsidR="00D75231" w:rsidRPr="00D75231" w:rsidRDefault="00D75231" w:rsidP="001755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AU"/>
        </w:rPr>
      </w:pPr>
      <w:r w:rsidRPr="00D75231">
        <w:rPr>
          <w:rFonts w:ascii="Arial Narrow" w:hAnsi="Arial Narrow"/>
          <w:sz w:val="22"/>
          <w:szCs w:val="22"/>
          <w:lang w:val="en-AU"/>
        </w:rPr>
        <w:t>What new E/U/N Subject Matter Categories</w:t>
      </w:r>
      <w:r w:rsidR="00F7449D">
        <w:rPr>
          <w:rFonts w:ascii="Arial Narrow" w:hAnsi="Arial Narrow"/>
          <w:sz w:val="22"/>
          <w:szCs w:val="22"/>
          <w:lang w:val="en-AU"/>
        </w:rPr>
        <w:t xml:space="preserve"> </w:t>
      </w:r>
      <w:proofErr w:type="gramStart"/>
      <w:r w:rsidR="00F7449D">
        <w:rPr>
          <w:rFonts w:ascii="Arial Narrow" w:hAnsi="Arial Narrow"/>
          <w:sz w:val="22"/>
          <w:szCs w:val="22"/>
          <w:lang w:val="en-AU"/>
        </w:rPr>
        <w:t>could</w:t>
      </w:r>
      <w:r w:rsidRPr="00D75231">
        <w:rPr>
          <w:rFonts w:ascii="Arial Narrow" w:hAnsi="Arial Narrow"/>
          <w:sz w:val="22"/>
          <w:szCs w:val="22"/>
          <w:lang w:val="en-AU"/>
        </w:rPr>
        <w:t xml:space="preserve"> be added</w:t>
      </w:r>
      <w:proofErr w:type="gramEnd"/>
      <w:r w:rsidRPr="00D75231">
        <w:rPr>
          <w:rFonts w:ascii="Arial Narrow" w:hAnsi="Arial Narrow"/>
          <w:sz w:val="22"/>
          <w:szCs w:val="22"/>
          <w:lang w:val="en-AU"/>
        </w:rPr>
        <w:t xml:space="preserve"> to S-49?</w:t>
      </w:r>
    </w:p>
    <w:p w:rsidR="00D75231" w:rsidRPr="00D75231" w:rsidRDefault="00D75231" w:rsidP="001755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/>
          <w:color w:val="FF0000"/>
          <w:sz w:val="22"/>
          <w:szCs w:val="22"/>
          <w:lang w:val="en-AU"/>
        </w:rPr>
      </w:pPr>
      <w:r w:rsidRPr="00D75231">
        <w:rPr>
          <w:rFonts w:ascii="Arial Narrow" w:hAnsi="Arial Narrow"/>
          <w:sz w:val="22"/>
          <w:szCs w:val="22"/>
        </w:rPr>
        <w:t xml:space="preserve">Are any modifications/changes/updates necessary for Section 1, 2, or </w:t>
      </w:r>
      <w:proofErr w:type="gramStart"/>
      <w:r w:rsidRPr="00D75231">
        <w:rPr>
          <w:rFonts w:ascii="Arial Narrow" w:hAnsi="Arial Narrow"/>
          <w:sz w:val="22"/>
          <w:szCs w:val="22"/>
        </w:rPr>
        <w:t>3</w:t>
      </w:r>
      <w:proofErr w:type="gramEnd"/>
      <w:r w:rsidRPr="00D75231">
        <w:rPr>
          <w:rFonts w:ascii="Arial Narrow" w:hAnsi="Arial Narrow"/>
          <w:sz w:val="22"/>
          <w:szCs w:val="22"/>
        </w:rPr>
        <w:t>?</w:t>
      </w:r>
    </w:p>
    <w:p w:rsidR="00846CE3" w:rsidRPr="00871D09" w:rsidRDefault="00D75231" w:rsidP="004F5A0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Narrow" w:hAnsi="Arial Narrow"/>
          <w:color w:val="FF0000"/>
          <w:sz w:val="22"/>
          <w:szCs w:val="22"/>
          <w:lang w:val="en-AU"/>
        </w:rPr>
      </w:pPr>
      <w:r w:rsidRPr="00D75231">
        <w:rPr>
          <w:rFonts w:ascii="Arial Narrow" w:hAnsi="Arial Narrow"/>
          <w:sz w:val="22"/>
          <w:szCs w:val="22"/>
        </w:rPr>
        <w:t xml:space="preserve">How </w:t>
      </w:r>
      <w:proofErr w:type="gramStart"/>
      <w:r w:rsidRPr="00D75231">
        <w:rPr>
          <w:rFonts w:ascii="Arial Narrow" w:hAnsi="Arial Narrow"/>
          <w:sz w:val="22"/>
          <w:szCs w:val="22"/>
        </w:rPr>
        <w:t xml:space="preserve">should Availability of Mariners’ </w:t>
      </w:r>
      <w:proofErr w:type="spellStart"/>
      <w:r w:rsidRPr="00D75231">
        <w:rPr>
          <w:rFonts w:ascii="Arial Narrow" w:hAnsi="Arial Narrow"/>
          <w:sz w:val="22"/>
          <w:szCs w:val="22"/>
        </w:rPr>
        <w:t>Routeing</w:t>
      </w:r>
      <w:proofErr w:type="spellEnd"/>
      <w:r w:rsidRPr="00D75231">
        <w:rPr>
          <w:rFonts w:ascii="Arial Narrow" w:hAnsi="Arial Narrow"/>
          <w:sz w:val="22"/>
          <w:szCs w:val="22"/>
        </w:rPr>
        <w:t xml:space="preserve"> Guides be depicted</w:t>
      </w:r>
      <w:proofErr w:type="gramEnd"/>
      <w:r w:rsidRPr="00D75231">
        <w:rPr>
          <w:rFonts w:ascii="Arial Narrow" w:hAnsi="Arial Narrow"/>
          <w:sz w:val="22"/>
          <w:szCs w:val="22"/>
        </w:rPr>
        <w:t xml:space="preserve"> in Section 4 of S-49?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5D016A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No or minimal costs </w:t>
      </w:r>
      <w:r w:rsidR="00480185">
        <w:rPr>
          <w:rFonts w:ascii="Arial Narrow" w:hAnsi="Arial Narrow"/>
          <w:sz w:val="22"/>
          <w:szCs w:val="22"/>
          <w:lang w:val="en-AU"/>
        </w:rPr>
        <w:t xml:space="preserve">are </w:t>
      </w:r>
      <w:r>
        <w:rPr>
          <w:rFonts w:ascii="Arial Narrow" w:hAnsi="Arial Narrow"/>
          <w:sz w:val="22"/>
          <w:szCs w:val="22"/>
          <w:lang w:val="en-AU"/>
        </w:rPr>
        <w:t xml:space="preserve">associated with </w:t>
      </w:r>
      <w:r w:rsidR="007E0DD7">
        <w:rPr>
          <w:rFonts w:ascii="Arial Narrow" w:hAnsi="Arial Narrow"/>
          <w:sz w:val="22"/>
          <w:szCs w:val="22"/>
          <w:lang w:val="en-AU"/>
        </w:rPr>
        <w:t>revising</w:t>
      </w:r>
      <w:r>
        <w:rPr>
          <w:rFonts w:ascii="Arial Narrow" w:hAnsi="Arial Narrow"/>
          <w:sz w:val="22"/>
          <w:szCs w:val="22"/>
          <w:lang w:val="en-AU"/>
        </w:rPr>
        <w:t xml:space="preserve"> S-49. Changes </w:t>
      </w:r>
      <w:r w:rsidR="00961729">
        <w:rPr>
          <w:rFonts w:ascii="Arial Narrow" w:hAnsi="Arial Narrow"/>
          <w:sz w:val="22"/>
          <w:szCs w:val="22"/>
          <w:lang w:val="en-AU"/>
        </w:rPr>
        <w:t>to the individual</w:t>
      </w:r>
      <w:r w:rsidR="00480185">
        <w:rPr>
          <w:rFonts w:ascii="Arial Narrow" w:hAnsi="Arial Narrow"/>
          <w:sz w:val="22"/>
          <w:szCs w:val="22"/>
          <w:lang w:val="en-AU"/>
        </w:rPr>
        <w:t xml:space="preserve"> Mariners’ Routeing Guides </w:t>
      </w:r>
      <w:proofErr w:type="gramStart"/>
      <w:r>
        <w:rPr>
          <w:rFonts w:ascii="Arial Narrow" w:hAnsi="Arial Narrow"/>
          <w:sz w:val="22"/>
          <w:szCs w:val="22"/>
          <w:lang w:val="en-AU"/>
        </w:rPr>
        <w:t>are made</w:t>
      </w:r>
      <w:proofErr w:type="gramEnd"/>
      <w:r>
        <w:rPr>
          <w:rFonts w:ascii="Arial Narrow" w:hAnsi="Arial Narrow"/>
          <w:sz w:val="22"/>
          <w:szCs w:val="22"/>
          <w:lang w:val="en-AU"/>
        </w:rPr>
        <w:t xml:space="preserve"> by the individual HOs during the normal update rotation of their Mariners’ Routeing Guides, via Notice to Mariners corrections, or through digital updating of electronic versions.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E837BD" w:rsidRDefault="00E837BD" w:rsidP="004F5A06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Further discussion on</w:t>
      </w:r>
      <w:r w:rsidR="00D95821">
        <w:rPr>
          <w:rFonts w:ascii="Arial Narrow" w:hAnsi="Arial Narrow"/>
          <w:sz w:val="22"/>
          <w:szCs w:val="22"/>
          <w:lang w:val="en-AU"/>
        </w:rPr>
        <w:t xml:space="preserve"> the following items</w:t>
      </w:r>
      <w:r>
        <w:rPr>
          <w:rFonts w:ascii="Arial Narrow" w:hAnsi="Arial Narrow"/>
          <w:sz w:val="22"/>
          <w:szCs w:val="22"/>
          <w:lang w:val="en-AU"/>
        </w:rPr>
        <w:t>:</w:t>
      </w:r>
    </w:p>
    <w:p w:rsidR="00E837BD" w:rsidRDefault="00BD1204" w:rsidP="00E837BD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E4.3, </w:t>
      </w:r>
      <w:r w:rsidR="00F800E1">
        <w:rPr>
          <w:rFonts w:ascii="Arial Narrow" w:hAnsi="Arial Narrow"/>
          <w:sz w:val="22"/>
          <w:szCs w:val="22"/>
          <w:lang w:val="en-AU"/>
        </w:rPr>
        <w:t xml:space="preserve">E4.4, </w:t>
      </w:r>
      <w:r w:rsidR="00871D09">
        <w:rPr>
          <w:rFonts w:ascii="Arial Narrow" w:hAnsi="Arial Narrow"/>
          <w:sz w:val="22"/>
          <w:szCs w:val="22"/>
          <w:lang w:val="en-AU"/>
        </w:rPr>
        <w:t>U6.6, and N8.2</w:t>
      </w:r>
      <w:r w:rsidR="00F800E1">
        <w:rPr>
          <w:rFonts w:ascii="Arial Narrow" w:hAnsi="Arial Narrow"/>
          <w:sz w:val="22"/>
          <w:szCs w:val="22"/>
          <w:lang w:val="en-AU"/>
        </w:rPr>
        <w:t xml:space="preserve"> (reach a consensus)</w:t>
      </w:r>
      <w:r w:rsidR="00E837BD">
        <w:rPr>
          <w:rFonts w:ascii="Arial Narrow" w:hAnsi="Arial Narrow"/>
          <w:sz w:val="22"/>
          <w:szCs w:val="22"/>
          <w:lang w:val="en-AU"/>
        </w:rPr>
        <w:t>.</w:t>
      </w:r>
    </w:p>
    <w:p w:rsidR="00E837BD" w:rsidRDefault="00E837BD" w:rsidP="00E837BD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U6.7 and U6.8 (new proposals).</w:t>
      </w:r>
    </w:p>
    <w:p w:rsidR="00E837BD" w:rsidRDefault="00E837BD" w:rsidP="00E837BD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E2.3 (exact wording)</w:t>
      </w:r>
    </w:p>
    <w:p w:rsidR="00A74B10" w:rsidRDefault="00A74B10" w:rsidP="00E837BD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 xml:space="preserve">Section </w:t>
      </w:r>
      <w:proofErr w:type="gramStart"/>
      <w:r>
        <w:rPr>
          <w:rFonts w:ascii="Arial Narrow" w:hAnsi="Arial Narrow"/>
          <w:sz w:val="22"/>
          <w:szCs w:val="22"/>
          <w:lang w:val="en-AU"/>
        </w:rPr>
        <w:t>4</w:t>
      </w:r>
      <w:proofErr w:type="gramEnd"/>
      <w:r>
        <w:rPr>
          <w:rFonts w:ascii="Arial Narrow" w:hAnsi="Arial Narrow"/>
          <w:sz w:val="22"/>
          <w:szCs w:val="22"/>
          <w:lang w:val="en-AU"/>
        </w:rPr>
        <w:t xml:space="preserve"> (availability of Mariners'</w:t>
      </w:r>
      <w:r w:rsidR="00BD1204">
        <w:rPr>
          <w:rFonts w:ascii="Arial Narrow" w:hAnsi="Arial Narrow"/>
          <w:sz w:val="22"/>
          <w:szCs w:val="22"/>
          <w:lang w:val="en-AU"/>
        </w:rPr>
        <w:t xml:space="preserve"> Routeing Guides)</w:t>
      </w:r>
      <w:r w:rsidR="00107BFB">
        <w:rPr>
          <w:rFonts w:ascii="Arial Narrow" w:hAnsi="Arial Narrow"/>
          <w:sz w:val="22"/>
          <w:szCs w:val="22"/>
          <w:lang w:val="en-AU"/>
        </w:rPr>
        <w:t xml:space="preserve"> and format of this information</w:t>
      </w:r>
      <w:r w:rsidR="00BD1204">
        <w:rPr>
          <w:rFonts w:ascii="Arial Narrow" w:hAnsi="Arial Narrow"/>
          <w:sz w:val="22"/>
          <w:szCs w:val="22"/>
          <w:lang w:val="en-AU"/>
        </w:rPr>
        <w:t>.</w:t>
      </w:r>
    </w:p>
    <w:p w:rsidR="002A2D84" w:rsidRPr="002A2D84" w:rsidRDefault="002A2D84" w:rsidP="002A2D84">
      <w:pPr>
        <w:rPr>
          <w:rFonts w:ascii="Arial Narrow" w:hAnsi="Arial Narrow"/>
          <w:sz w:val="22"/>
          <w:szCs w:val="22"/>
          <w:lang w:val="en-AU"/>
        </w:rPr>
      </w:pPr>
      <w:r w:rsidRPr="002A2D84">
        <w:rPr>
          <w:rFonts w:ascii="Arial Narrow" w:hAnsi="Arial Narrow"/>
          <w:sz w:val="22"/>
          <w:szCs w:val="22"/>
          <w:lang w:val="en-AU"/>
        </w:rPr>
        <w:t>Adopt the consensus items.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3D6613" w:rsidRDefault="00480185" w:rsidP="003D6613">
      <w:pPr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Identifyies</w:t>
      </w:r>
      <w:proofErr w:type="spellEnd"/>
      <w:r w:rsidR="00AC745F" w:rsidRPr="003D6613">
        <w:rPr>
          <w:rFonts w:ascii="Arial Narrow" w:hAnsi="Arial Narrow"/>
          <w:sz w:val="22"/>
          <w:szCs w:val="22"/>
        </w:rPr>
        <w:t xml:space="preserve"> new items for inclusion in the ESSENTIAL (E), USEFUL (U), and NOT APPROPRIATE (N) sections of the Subject Matter table.</w:t>
      </w:r>
    </w:p>
    <w:p w:rsidR="004F5A06" w:rsidRPr="00F543C9" w:rsidRDefault="00E837BD" w:rsidP="00AC745F">
      <w:pPr>
        <w:pStyle w:val="subpara"/>
        <w:ind w:left="0" w:firstLine="0"/>
        <w:rPr>
          <w:szCs w:val="22"/>
        </w:rPr>
      </w:pPr>
      <w:r>
        <w:rPr>
          <w:szCs w:val="22"/>
        </w:rPr>
        <w:t xml:space="preserve">All work would be done via correspondence and during </w:t>
      </w:r>
      <w:proofErr w:type="gramStart"/>
      <w:r>
        <w:rPr>
          <w:szCs w:val="22"/>
        </w:rPr>
        <w:t>normally-scheduled</w:t>
      </w:r>
      <w:proofErr w:type="gramEnd"/>
      <w:r>
        <w:rPr>
          <w:szCs w:val="22"/>
        </w:rPr>
        <w:t xml:space="preserve"> NIPWG meetings.</w:t>
      </w:r>
    </w:p>
    <w:p w:rsidR="004F5A06" w:rsidRDefault="00BD1204" w:rsidP="00AC745F">
      <w:pPr>
        <w:pStyle w:val="subpara"/>
        <w:ind w:left="0" w:firstLine="0"/>
        <w:rPr>
          <w:szCs w:val="22"/>
        </w:rPr>
      </w:pPr>
      <w:r w:rsidRPr="00BD1204">
        <w:rPr>
          <w:szCs w:val="22"/>
        </w:rPr>
        <w:t>NIPWG is the prima</w:t>
      </w:r>
      <w:r w:rsidR="00F800E1">
        <w:rPr>
          <w:szCs w:val="22"/>
        </w:rPr>
        <w:t>r</w:t>
      </w:r>
      <w:r w:rsidRPr="00BD1204">
        <w:rPr>
          <w:szCs w:val="22"/>
        </w:rPr>
        <w:t xml:space="preserve">y working group for this project with </w:t>
      </w:r>
      <w:r w:rsidR="00871D09">
        <w:rPr>
          <w:szCs w:val="22"/>
        </w:rPr>
        <w:t xml:space="preserve">additional </w:t>
      </w:r>
      <w:r w:rsidRPr="00BD1204">
        <w:rPr>
          <w:szCs w:val="22"/>
        </w:rPr>
        <w:t>input from NCWG.</w:t>
      </w:r>
    </w:p>
    <w:p w:rsidR="00AC745F" w:rsidRPr="00BD1204" w:rsidRDefault="00AC745F" w:rsidP="00AC745F">
      <w:pPr>
        <w:pStyle w:val="subpara"/>
        <w:ind w:left="0" w:firstLine="0"/>
        <w:rPr>
          <w:szCs w:val="22"/>
        </w:rPr>
      </w:pPr>
      <w:r>
        <w:rPr>
          <w:szCs w:val="22"/>
        </w:rPr>
        <w:t>Medium priority.</w:t>
      </w:r>
    </w:p>
    <w:p w:rsidR="004F5A06" w:rsidRPr="006F4036" w:rsidRDefault="00F85E14" w:rsidP="00AC745F">
      <w:pPr>
        <w:pStyle w:val="subpara"/>
        <w:ind w:left="0" w:firstLine="0"/>
        <w:rPr>
          <w:szCs w:val="22"/>
        </w:rPr>
      </w:pPr>
      <w:r w:rsidRPr="006F4036">
        <w:rPr>
          <w:szCs w:val="22"/>
        </w:rPr>
        <w:t xml:space="preserve">Revisions </w:t>
      </w:r>
      <w:proofErr w:type="gramStart"/>
      <w:r w:rsidRPr="006F4036">
        <w:rPr>
          <w:szCs w:val="22"/>
        </w:rPr>
        <w:t>mus</w:t>
      </w:r>
      <w:bookmarkStart w:id="1" w:name="_GoBack"/>
      <w:bookmarkEnd w:id="1"/>
      <w:r w:rsidRPr="006F4036">
        <w:rPr>
          <w:szCs w:val="22"/>
        </w:rPr>
        <w:t>t be approved</w:t>
      </w:r>
      <w:proofErr w:type="gramEnd"/>
      <w:r w:rsidRPr="006F4036">
        <w:rPr>
          <w:szCs w:val="22"/>
        </w:rPr>
        <w:t xml:space="preserve"> by Member States via the HSSC a</w:t>
      </w:r>
      <w:r w:rsidR="006F4036" w:rsidRPr="006F4036">
        <w:rPr>
          <w:szCs w:val="22"/>
        </w:rPr>
        <w:t>s discussed in paragraph 5.1 of</w:t>
      </w:r>
      <w:r w:rsidRPr="006F4036">
        <w:rPr>
          <w:szCs w:val="22"/>
        </w:rPr>
        <w:t xml:space="preserve"> IHO Resolution 2/2007. Tentative timeline:</w:t>
      </w:r>
    </w:p>
    <w:p w:rsidR="003D6613" w:rsidRPr="006F4036" w:rsidRDefault="003D6613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>2</w:t>
      </w:r>
      <w:r w:rsidR="006E108E" w:rsidRPr="006F4036">
        <w:rPr>
          <w:szCs w:val="22"/>
        </w:rPr>
        <w:t>8</w:t>
      </w:r>
      <w:r w:rsidRPr="006F4036">
        <w:rPr>
          <w:szCs w:val="22"/>
        </w:rPr>
        <w:t>-</w:t>
      </w:r>
      <w:r w:rsidR="006E108E" w:rsidRPr="006F4036">
        <w:rPr>
          <w:szCs w:val="22"/>
        </w:rPr>
        <w:t>31</w:t>
      </w:r>
      <w:r w:rsidRPr="006F4036">
        <w:rPr>
          <w:szCs w:val="22"/>
        </w:rPr>
        <w:t xml:space="preserve"> </w:t>
      </w:r>
      <w:r w:rsidR="006E108E" w:rsidRPr="006F4036">
        <w:rPr>
          <w:szCs w:val="22"/>
        </w:rPr>
        <w:t>January</w:t>
      </w:r>
      <w:r w:rsidRPr="006F4036">
        <w:rPr>
          <w:szCs w:val="22"/>
        </w:rPr>
        <w:t xml:space="preserve"> 2019—Discussion of proposed S-49 revisions at NIPWG6.</w:t>
      </w:r>
    </w:p>
    <w:p w:rsidR="003D6613" w:rsidRPr="006F4036" w:rsidRDefault="006E108E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 xml:space="preserve">31 March 2019—Distribution of NIPWG Letter with S-49 Version 2.1.0 (draft) </w:t>
      </w:r>
      <w:r w:rsidR="006F4036">
        <w:rPr>
          <w:szCs w:val="22"/>
        </w:rPr>
        <w:t xml:space="preserve">requesting </w:t>
      </w:r>
      <w:r w:rsidRPr="006F4036">
        <w:rPr>
          <w:szCs w:val="22"/>
        </w:rPr>
        <w:t>final group comments.</w:t>
      </w:r>
    </w:p>
    <w:p w:rsidR="006E108E" w:rsidRPr="006F4036" w:rsidRDefault="006E108E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>30 June 2019—</w:t>
      </w:r>
      <w:proofErr w:type="gramStart"/>
      <w:r w:rsidRPr="006F4036">
        <w:rPr>
          <w:szCs w:val="22"/>
        </w:rPr>
        <w:t>Closing</w:t>
      </w:r>
      <w:proofErr w:type="gramEnd"/>
      <w:r w:rsidRPr="006F4036">
        <w:rPr>
          <w:szCs w:val="22"/>
        </w:rPr>
        <w:t xml:space="preserve"> date for receipt of group comments on S-49 Version 2.1.0 (draft).</w:t>
      </w:r>
    </w:p>
    <w:p w:rsidR="006E108E" w:rsidRPr="006F4036" w:rsidRDefault="006E108E" w:rsidP="003D6613">
      <w:pPr>
        <w:pStyle w:val="subpara"/>
        <w:numPr>
          <w:ilvl w:val="0"/>
          <w:numId w:val="7"/>
        </w:numPr>
        <w:rPr>
          <w:szCs w:val="22"/>
        </w:rPr>
      </w:pPr>
      <w:proofErr w:type="spellStart"/>
      <w:r w:rsidRPr="006F4036">
        <w:rPr>
          <w:szCs w:val="22"/>
        </w:rPr>
        <w:t>Mid March</w:t>
      </w:r>
      <w:proofErr w:type="spellEnd"/>
      <w:r w:rsidR="00F85E14" w:rsidRPr="006F4036">
        <w:rPr>
          <w:szCs w:val="22"/>
        </w:rPr>
        <w:t xml:space="preserve"> 2020—Latest subm</w:t>
      </w:r>
      <w:r w:rsidR="00A37821">
        <w:rPr>
          <w:szCs w:val="22"/>
        </w:rPr>
        <w:t>ission time for papers for HSSC</w:t>
      </w:r>
      <w:r w:rsidR="00F85E14" w:rsidRPr="006F4036">
        <w:rPr>
          <w:szCs w:val="22"/>
        </w:rPr>
        <w:t>12.</w:t>
      </w:r>
    </w:p>
    <w:p w:rsidR="00F85E14" w:rsidRPr="006F4036" w:rsidRDefault="00F85E14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>Mid-May 2020</w:t>
      </w:r>
      <w:r w:rsidR="00D472C3">
        <w:rPr>
          <w:szCs w:val="22"/>
        </w:rPr>
        <w:t xml:space="preserve"> (</w:t>
      </w:r>
      <w:r w:rsidR="00965772">
        <w:rPr>
          <w:szCs w:val="22"/>
        </w:rPr>
        <w:t>projected</w:t>
      </w:r>
      <w:r w:rsidR="00D472C3">
        <w:rPr>
          <w:szCs w:val="22"/>
        </w:rPr>
        <w:t>)</w:t>
      </w:r>
      <w:r w:rsidRPr="006F4036">
        <w:rPr>
          <w:szCs w:val="22"/>
        </w:rPr>
        <w:t xml:space="preserve">—Review </w:t>
      </w:r>
      <w:r w:rsidR="00A37821">
        <w:rPr>
          <w:szCs w:val="22"/>
        </w:rPr>
        <w:t>and endorsement</w:t>
      </w:r>
      <w:r w:rsidR="007D411B" w:rsidRPr="006F4036">
        <w:rPr>
          <w:szCs w:val="22"/>
        </w:rPr>
        <w:t xml:space="preserve"> </w:t>
      </w:r>
      <w:r w:rsidR="00A37821">
        <w:rPr>
          <w:szCs w:val="22"/>
        </w:rPr>
        <w:t>by HSSC</w:t>
      </w:r>
      <w:r w:rsidRPr="006F4036">
        <w:rPr>
          <w:szCs w:val="22"/>
        </w:rPr>
        <w:t>12.</w:t>
      </w:r>
    </w:p>
    <w:p w:rsidR="00F85E14" w:rsidRPr="006F4036" w:rsidRDefault="007D411B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>November 2020</w:t>
      </w:r>
      <w:r w:rsidR="00965772">
        <w:rPr>
          <w:szCs w:val="22"/>
        </w:rPr>
        <w:t xml:space="preserve"> (projected)</w:t>
      </w:r>
      <w:r w:rsidR="00F85E14" w:rsidRPr="006F4036">
        <w:rPr>
          <w:szCs w:val="22"/>
        </w:rPr>
        <w:t>—</w:t>
      </w:r>
      <w:r w:rsidRPr="006F4036">
        <w:rPr>
          <w:szCs w:val="22"/>
        </w:rPr>
        <w:t xml:space="preserve">IHO </w:t>
      </w:r>
      <w:r w:rsidR="00F85E14" w:rsidRPr="006F4036">
        <w:rPr>
          <w:szCs w:val="22"/>
        </w:rPr>
        <w:t>Circular Letter issued to conduct the voting process by Member States.</w:t>
      </w:r>
    </w:p>
    <w:p w:rsidR="007D411B" w:rsidRPr="006F4036" w:rsidRDefault="006F4036" w:rsidP="003D6613">
      <w:pPr>
        <w:pStyle w:val="subpara"/>
        <w:numPr>
          <w:ilvl w:val="0"/>
          <w:numId w:val="7"/>
        </w:numPr>
        <w:rPr>
          <w:szCs w:val="22"/>
        </w:rPr>
      </w:pPr>
      <w:r w:rsidRPr="006F4036">
        <w:rPr>
          <w:szCs w:val="22"/>
        </w:rPr>
        <w:t>January 2021</w:t>
      </w:r>
      <w:r w:rsidR="00D472C3">
        <w:rPr>
          <w:szCs w:val="22"/>
        </w:rPr>
        <w:t xml:space="preserve"> (</w:t>
      </w:r>
      <w:r w:rsidR="00965772">
        <w:rPr>
          <w:szCs w:val="22"/>
        </w:rPr>
        <w:t>projected</w:t>
      </w:r>
      <w:r w:rsidR="00D472C3">
        <w:rPr>
          <w:szCs w:val="22"/>
        </w:rPr>
        <w:t>)</w:t>
      </w:r>
      <w:r w:rsidR="007D411B" w:rsidRPr="006F4036">
        <w:rPr>
          <w:szCs w:val="22"/>
        </w:rPr>
        <w:t>—</w:t>
      </w:r>
      <w:proofErr w:type="gramStart"/>
      <w:r w:rsidR="007D411B" w:rsidRPr="006F4036">
        <w:rPr>
          <w:szCs w:val="22"/>
        </w:rPr>
        <w:t>Closing</w:t>
      </w:r>
      <w:proofErr w:type="gramEnd"/>
      <w:r w:rsidR="007D411B" w:rsidRPr="006F4036">
        <w:rPr>
          <w:szCs w:val="22"/>
        </w:rPr>
        <w:t xml:space="preserve"> date for Member State approval/disapproval.</w:t>
      </w:r>
    </w:p>
    <w:p w:rsidR="006F4036" w:rsidRPr="006F4036" w:rsidRDefault="004F5A06" w:rsidP="00AC745F">
      <w:pPr>
        <w:pStyle w:val="subpara"/>
        <w:ind w:left="0" w:firstLine="0"/>
        <w:rPr>
          <w:szCs w:val="22"/>
        </w:rPr>
      </w:pPr>
      <w:r w:rsidRPr="006F4036">
        <w:rPr>
          <w:b/>
          <w:szCs w:val="22"/>
        </w:rPr>
        <w:t>.</w:t>
      </w:r>
      <w:r w:rsidR="007D411B" w:rsidRPr="006F4036">
        <w:rPr>
          <w:b/>
          <w:szCs w:val="22"/>
        </w:rPr>
        <w:t>Note</w:t>
      </w:r>
      <w:r w:rsidR="006F4036" w:rsidRPr="006F4036">
        <w:rPr>
          <w:b/>
          <w:szCs w:val="22"/>
        </w:rPr>
        <w:t>s</w:t>
      </w:r>
      <w:r w:rsidR="007D411B" w:rsidRPr="006F4036">
        <w:rPr>
          <w:b/>
          <w:szCs w:val="22"/>
        </w:rPr>
        <w:t>.</w:t>
      </w:r>
      <w:r w:rsidR="00956CEF" w:rsidRPr="006F4036">
        <w:rPr>
          <w:b/>
          <w:szCs w:val="22"/>
        </w:rPr>
        <w:t>—</w:t>
      </w:r>
      <w:r w:rsidR="00956CEF" w:rsidRPr="006F4036">
        <w:rPr>
          <w:szCs w:val="22"/>
        </w:rPr>
        <w:t>HSSC</w:t>
      </w:r>
      <w:r w:rsidR="006F4036">
        <w:rPr>
          <w:szCs w:val="22"/>
        </w:rPr>
        <w:t>11</w:t>
      </w:r>
      <w:r w:rsidR="00956CEF" w:rsidRPr="006F4036">
        <w:rPr>
          <w:szCs w:val="22"/>
        </w:rPr>
        <w:t xml:space="preserve"> </w:t>
      </w:r>
      <w:r w:rsidR="00D472C3">
        <w:rPr>
          <w:szCs w:val="22"/>
        </w:rPr>
        <w:t xml:space="preserve">is meeting </w:t>
      </w:r>
      <w:r w:rsidR="00480185">
        <w:rPr>
          <w:szCs w:val="22"/>
        </w:rPr>
        <w:t>in May</w:t>
      </w:r>
      <w:r w:rsidR="006F4036" w:rsidRPr="006F4036">
        <w:rPr>
          <w:szCs w:val="22"/>
        </w:rPr>
        <w:t xml:space="preserve"> 2019 but there </w:t>
      </w:r>
      <w:r w:rsidR="00480185">
        <w:rPr>
          <w:szCs w:val="22"/>
        </w:rPr>
        <w:t xml:space="preserve">is </w:t>
      </w:r>
      <w:r w:rsidR="005957D2">
        <w:rPr>
          <w:szCs w:val="22"/>
        </w:rPr>
        <w:t>in</w:t>
      </w:r>
      <w:r w:rsidR="006F4036" w:rsidRPr="006F4036">
        <w:rPr>
          <w:szCs w:val="22"/>
        </w:rPr>
        <w:t>sufficient time</w:t>
      </w:r>
      <w:r w:rsidR="00480185">
        <w:rPr>
          <w:szCs w:val="22"/>
        </w:rPr>
        <w:t xml:space="preserve"> from the end of NIPWG6 to the deadline for submissions </w:t>
      </w:r>
      <w:r w:rsidR="005957D2">
        <w:rPr>
          <w:szCs w:val="22"/>
        </w:rPr>
        <w:t>to</w:t>
      </w:r>
      <w:r w:rsidR="00480185">
        <w:rPr>
          <w:szCs w:val="22"/>
        </w:rPr>
        <w:t xml:space="preserve"> HSSC11 </w:t>
      </w:r>
      <w:r w:rsidR="006F4036" w:rsidRPr="006F4036">
        <w:rPr>
          <w:szCs w:val="22"/>
        </w:rPr>
        <w:t>to produce an adequate pap</w:t>
      </w:r>
      <w:r w:rsidR="00480185">
        <w:rPr>
          <w:szCs w:val="22"/>
        </w:rPr>
        <w:t xml:space="preserve">er for submission to the HSSC. 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D472C3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D472C3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 w:rsidRPr="00D472C3">
        <w:rPr>
          <w:rFonts w:ascii="Arial Narrow" w:hAnsi="Arial Narrow"/>
          <w:sz w:val="22"/>
          <w:szCs w:val="22"/>
          <w:lang w:val="en-AU"/>
        </w:rPr>
        <w:t>NI</w:t>
      </w:r>
      <w:r w:rsidR="00CE20F2" w:rsidRPr="00D472C3">
        <w:rPr>
          <w:rFonts w:ascii="Arial Narrow" w:hAnsi="Arial Narrow"/>
          <w:sz w:val="22"/>
          <w:szCs w:val="22"/>
          <w:lang w:val="en-AU"/>
        </w:rPr>
        <w:t>PWG</w:t>
      </w:r>
      <w:r w:rsidRPr="00D472C3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D472C3" w:rsidRDefault="004F5A06" w:rsidP="004F5A06">
      <w:pPr>
        <w:pStyle w:val="subpara"/>
        <w:rPr>
          <w:szCs w:val="22"/>
        </w:rPr>
      </w:pPr>
      <w:proofErr w:type="gramStart"/>
      <w:r w:rsidRPr="00D472C3">
        <w:rPr>
          <w:szCs w:val="22"/>
        </w:rPr>
        <w:t>a</w:t>
      </w:r>
      <w:proofErr w:type="gramEnd"/>
      <w:r w:rsidRPr="00D472C3">
        <w:rPr>
          <w:szCs w:val="22"/>
        </w:rPr>
        <w:t>.</w:t>
      </w:r>
      <w:r w:rsidRPr="00D472C3">
        <w:rPr>
          <w:szCs w:val="22"/>
        </w:rPr>
        <w:tab/>
      </w:r>
      <w:r w:rsidR="00D472C3" w:rsidRPr="00D472C3">
        <w:rPr>
          <w:szCs w:val="22"/>
        </w:rPr>
        <w:t>note this paper.</w:t>
      </w:r>
    </w:p>
    <w:p w:rsidR="004F5A06" w:rsidRPr="00D472C3" w:rsidRDefault="004F5A06" w:rsidP="004F5A06">
      <w:pPr>
        <w:pStyle w:val="subpara"/>
        <w:rPr>
          <w:szCs w:val="22"/>
        </w:rPr>
      </w:pPr>
      <w:proofErr w:type="gramStart"/>
      <w:r w:rsidRPr="00D472C3">
        <w:rPr>
          <w:szCs w:val="22"/>
        </w:rPr>
        <w:t>b</w:t>
      </w:r>
      <w:proofErr w:type="gramEnd"/>
      <w:r w:rsidRPr="00D472C3">
        <w:rPr>
          <w:szCs w:val="22"/>
        </w:rPr>
        <w:t>.</w:t>
      </w:r>
      <w:r w:rsidRPr="00D472C3">
        <w:rPr>
          <w:szCs w:val="22"/>
        </w:rPr>
        <w:tab/>
      </w:r>
      <w:r w:rsidR="00D472C3" w:rsidRPr="00D472C3">
        <w:rPr>
          <w:szCs w:val="22"/>
        </w:rPr>
        <w:t>prepare to discuss and adopt the recommendations listed above.</w:t>
      </w:r>
    </w:p>
    <w:p w:rsidR="00DA6670" w:rsidRDefault="00DA6670" w:rsidP="00D472C3">
      <w:pPr>
        <w:pStyle w:val="subpara"/>
        <w:jc w:val="left"/>
        <w:rPr>
          <w:szCs w:val="22"/>
          <w:lang w:val="fr-FR"/>
        </w:rPr>
      </w:pPr>
    </w:p>
    <w:p w:rsidR="00DA6670" w:rsidRDefault="00DA6670">
      <w:pPr>
        <w:rPr>
          <w:rFonts w:ascii="Arial Narrow" w:hAnsi="Arial Narrow"/>
          <w:sz w:val="22"/>
          <w:szCs w:val="22"/>
          <w:lang w:val="fr-FR"/>
        </w:rPr>
      </w:pPr>
    </w:p>
    <w:p w:rsidR="00DA6670" w:rsidRDefault="00DA6670" w:rsidP="00DA6670">
      <w:pPr>
        <w:pStyle w:val="subpara"/>
        <w:ind w:firstLine="0"/>
        <w:jc w:val="center"/>
        <w:rPr>
          <w:b/>
          <w:szCs w:val="22"/>
        </w:rPr>
      </w:pPr>
      <w:r>
        <w:rPr>
          <w:b/>
          <w:szCs w:val="22"/>
        </w:rPr>
        <w:t>APPENDIX</w:t>
      </w:r>
    </w:p>
    <w:p w:rsidR="00DA6670" w:rsidRDefault="00DA6670" w:rsidP="00CE20F2">
      <w:pPr>
        <w:pStyle w:val="subpara"/>
        <w:ind w:firstLine="0"/>
        <w:jc w:val="left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A74B10" w:rsidTr="00A12A67">
        <w:tc>
          <w:tcPr>
            <w:tcW w:w="9074" w:type="dxa"/>
            <w:gridSpan w:val="3"/>
          </w:tcPr>
          <w:p w:rsidR="00A74B10" w:rsidRPr="003A798B" w:rsidRDefault="00A74B10" w:rsidP="005915E7">
            <w:pPr>
              <w:pStyle w:val="subpara"/>
              <w:ind w:left="0" w:right="84" w:firstLine="0"/>
              <w:jc w:val="center"/>
              <w:rPr>
                <w:b/>
                <w:sz w:val="36"/>
                <w:szCs w:val="36"/>
              </w:rPr>
            </w:pPr>
            <w:r w:rsidRPr="003A798B">
              <w:rPr>
                <w:b/>
                <w:sz w:val="36"/>
                <w:szCs w:val="36"/>
              </w:rPr>
              <w:t>NEW ITEMS</w:t>
            </w:r>
          </w:p>
        </w:tc>
      </w:tr>
      <w:tr w:rsidR="00DA6670" w:rsidTr="00DA6670">
        <w:tc>
          <w:tcPr>
            <w:tcW w:w="3024" w:type="dxa"/>
          </w:tcPr>
          <w:p w:rsidR="00DA6670" w:rsidRDefault="003A798B" w:rsidP="005915E7">
            <w:pPr>
              <w:pStyle w:val="subpara"/>
              <w:ind w:left="0" w:right="84" w:firstLine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Number</w:t>
            </w:r>
          </w:p>
        </w:tc>
        <w:tc>
          <w:tcPr>
            <w:tcW w:w="3025" w:type="dxa"/>
          </w:tcPr>
          <w:p w:rsidR="00DA6670" w:rsidRDefault="003A798B" w:rsidP="005915E7">
            <w:pPr>
              <w:pStyle w:val="subpara"/>
              <w:ind w:left="0" w:right="84" w:firstLine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Item</w:t>
            </w:r>
          </w:p>
        </w:tc>
        <w:tc>
          <w:tcPr>
            <w:tcW w:w="3025" w:type="dxa"/>
          </w:tcPr>
          <w:p w:rsidR="00DA6670" w:rsidRDefault="00DA6670" w:rsidP="005915E7">
            <w:pPr>
              <w:pStyle w:val="subpara"/>
              <w:ind w:left="0" w:right="84" w:firstLine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Remarks</w:t>
            </w:r>
          </w:p>
        </w:tc>
      </w:tr>
      <w:tr w:rsidR="00DA6670" w:rsidTr="00DA6670">
        <w:tc>
          <w:tcPr>
            <w:tcW w:w="3024" w:type="dxa"/>
          </w:tcPr>
          <w:p w:rsidR="00DA6670" w:rsidRPr="00DA6670" w:rsidRDefault="00DA6670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DA6670">
              <w:rPr>
                <w:szCs w:val="22"/>
              </w:rPr>
              <w:t>N8.2</w:t>
            </w:r>
          </w:p>
        </w:tc>
        <w:tc>
          <w:tcPr>
            <w:tcW w:w="3025" w:type="dxa"/>
          </w:tcPr>
          <w:p w:rsidR="00DA6670" w:rsidRPr="00DA6670" w:rsidRDefault="00874528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Automatic Identification System (</w:t>
            </w:r>
            <w:r w:rsidR="00DA6670" w:rsidRPr="00DA6670">
              <w:rPr>
                <w:szCs w:val="22"/>
              </w:rPr>
              <w:t>AIS</w:t>
            </w:r>
            <w:r>
              <w:rPr>
                <w:szCs w:val="22"/>
              </w:rPr>
              <w:t>)</w:t>
            </w:r>
          </w:p>
        </w:tc>
        <w:tc>
          <w:tcPr>
            <w:tcW w:w="3025" w:type="dxa"/>
          </w:tcPr>
          <w:p w:rsidR="00DA6670" w:rsidRDefault="00DA6670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DA6670">
              <w:rPr>
                <w:szCs w:val="22"/>
              </w:rPr>
              <w:t xml:space="preserve">Consensus to include. </w:t>
            </w:r>
            <w:r>
              <w:rPr>
                <w:szCs w:val="22"/>
              </w:rPr>
              <w:t xml:space="preserve"> However, Japan </w:t>
            </w:r>
            <w:r w:rsidR="008F47FF">
              <w:rPr>
                <w:szCs w:val="22"/>
              </w:rPr>
              <w:t>has promulgated</w:t>
            </w:r>
            <w:r>
              <w:rPr>
                <w:szCs w:val="22"/>
              </w:rPr>
              <w:t xml:space="preserve"> </w:t>
            </w:r>
            <w:r w:rsidR="008F47FF">
              <w:rPr>
                <w:szCs w:val="22"/>
              </w:rPr>
              <w:t>requi</w:t>
            </w:r>
            <w:r w:rsidR="0029441E">
              <w:rPr>
                <w:szCs w:val="22"/>
              </w:rPr>
              <w:t>r</w:t>
            </w:r>
            <w:r w:rsidR="008F47FF">
              <w:rPr>
                <w:szCs w:val="22"/>
              </w:rPr>
              <w:t xml:space="preserve">ed </w:t>
            </w:r>
            <w:r>
              <w:rPr>
                <w:szCs w:val="22"/>
              </w:rPr>
              <w:t xml:space="preserve">AIS </w:t>
            </w:r>
            <w:r w:rsidR="008F47FF">
              <w:rPr>
                <w:szCs w:val="22"/>
              </w:rPr>
              <w:t>D</w:t>
            </w:r>
            <w:r>
              <w:rPr>
                <w:szCs w:val="22"/>
              </w:rPr>
              <w:t xml:space="preserve">estination </w:t>
            </w:r>
            <w:r w:rsidR="008F47FF">
              <w:rPr>
                <w:szCs w:val="22"/>
              </w:rPr>
              <w:t>Indicating Symbols for AIS-based vessel reporting</w:t>
            </w:r>
            <w:r>
              <w:rPr>
                <w:szCs w:val="22"/>
              </w:rPr>
              <w:t xml:space="preserve"> </w:t>
            </w:r>
            <w:r w:rsidR="008F47FF">
              <w:rPr>
                <w:szCs w:val="22"/>
              </w:rPr>
              <w:t>i</w:t>
            </w:r>
            <w:r>
              <w:rPr>
                <w:szCs w:val="22"/>
              </w:rPr>
              <w:t>n their MRGs (Japan includes in E2.2)</w:t>
            </w:r>
          </w:p>
          <w:p w:rsidR="004014D5" w:rsidRPr="00DA6670" w:rsidRDefault="004014D5" w:rsidP="001D65F4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EF1986">
              <w:rPr>
                <w:b/>
                <w:szCs w:val="22"/>
              </w:rPr>
              <w:t>Note.—</w:t>
            </w:r>
            <w:r>
              <w:rPr>
                <w:szCs w:val="22"/>
              </w:rPr>
              <w:t xml:space="preserve">Only </w:t>
            </w:r>
            <w:r w:rsidR="00EF1986">
              <w:rPr>
                <w:szCs w:val="22"/>
              </w:rPr>
              <w:t xml:space="preserve">intended to </w:t>
            </w:r>
            <w:r w:rsidR="001D65F4">
              <w:rPr>
                <w:szCs w:val="22"/>
              </w:rPr>
              <w:t>affect</w:t>
            </w:r>
            <w:r w:rsidR="00EF1986">
              <w:rPr>
                <w:szCs w:val="22"/>
              </w:rPr>
              <w:t xml:space="preserve"> </w:t>
            </w:r>
            <w:proofErr w:type="spellStart"/>
            <w:r w:rsidR="00EF1986">
              <w:rPr>
                <w:szCs w:val="22"/>
              </w:rPr>
              <w:t>AtoN</w:t>
            </w:r>
            <w:proofErr w:type="spellEnd"/>
            <w:r w:rsidR="00EF1986">
              <w:rPr>
                <w:szCs w:val="22"/>
              </w:rPr>
              <w:t>-</w:t>
            </w:r>
            <w:r>
              <w:rPr>
                <w:szCs w:val="22"/>
              </w:rPr>
              <w:t>based AIS information (similar to N</w:t>
            </w:r>
            <w:r w:rsidR="00517705">
              <w:rPr>
                <w:szCs w:val="22"/>
              </w:rPr>
              <w:t>1.2</w:t>
            </w:r>
            <w:r>
              <w:rPr>
                <w:szCs w:val="22"/>
              </w:rPr>
              <w:t>).</w:t>
            </w:r>
          </w:p>
        </w:tc>
      </w:tr>
      <w:tr w:rsidR="00DA6670" w:rsidTr="00DA6670">
        <w:tc>
          <w:tcPr>
            <w:tcW w:w="3024" w:type="dxa"/>
          </w:tcPr>
          <w:p w:rsidR="00DA6670" w:rsidRPr="00DA6670" w:rsidRDefault="00DA6670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E4.3</w:t>
            </w:r>
          </w:p>
        </w:tc>
        <w:tc>
          <w:tcPr>
            <w:tcW w:w="3025" w:type="dxa"/>
          </w:tcPr>
          <w:p w:rsidR="00DA6670" w:rsidRPr="00DA6670" w:rsidRDefault="00DA6670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Area to be Avoided</w:t>
            </w:r>
            <w:r w:rsidR="00F03D0E">
              <w:rPr>
                <w:szCs w:val="22"/>
              </w:rPr>
              <w:t xml:space="preserve"> (ATBA)</w:t>
            </w:r>
          </w:p>
        </w:tc>
        <w:tc>
          <w:tcPr>
            <w:tcW w:w="3025" w:type="dxa"/>
          </w:tcPr>
          <w:p w:rsidR="00DA6670" w:rsidRDefault="00480185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Two options</w:t>
            </w:r>
            <w:r w:rsidR="005915E7">
              <w:rPr>
                <w:szCs w:val="22"/>
              </w:rPr>
              <w:t>:</w:t>
            </w:r>
          </w:p>
          <w:p w:rsidR="005915E7" w:rsidRDefault="005915E7" w:rsidP="005915E7">
            <w:pPr>
              <w:pStyle w:val="subpara"/>
              <w:numPr>
                <w:ilvl w:val="0"/>
                <w:numId w:val="2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Include, but only those close to shipping lanes.</w:t>
            </w:r>
          </w:p>
          <w:p w:rsidR="005915E7" w:rsidRDefault="005915E7" w:rsidP="005915E7">
            <w:pPr>
              <w:pStyle w:val="subpara"/>
              <w:numPr>
                <w:ilvl w:val="0"/>
                <w:numId w:val="2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Do not include. Already covered by E1.1.</w:t>
            </w:r>
          </w:p>
          <w:p w:rsidR="0087261B" w:rsidRDefault="005915E7" w:rsidP="005915E7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F03D0E">
              <w:rPr>
                <w:b/>
                <w:szCs w:val="22"/>
              </w:rPr>
              <w:t>Note.—</w:t>
            </w:r>
            <w:r>
              <w:rPr>
                <w:szCs w:val="22"/>
              </w:rPr>
              <w:t>Only intended for IMO-adopted ATBA.</w:t>
            </w:r>
          </w:p>
          <w:p w:rsidR="005915E7" w:rsidRPr="00DA6670" w:rsidRDefault="00517705" w:rsidP="006E7378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Would this be more appropriately </w:t>
            </w:r>
            <w:r w:rsidR="006E7378">
              <w:rPr>
                <w:szCs w:val="22"/>
              </w:rPr>
              <w:t>designated</w:t>
            </w:r>
            <w:r>
              <w:rPr>
                <w:szCs w:val="22"/>
              </w:rPr>
              <w:t xml:space="preserve"> E3.3?</w:t>
            </w:r>
          </w:p>
        </w:tc>
      </w:tr>
      <w:tr w:rsidR="00DA6670" w:rsidTr="00DA6670">
        <w:tc>
          <w:tcPr>
            <w:tcW w:w="3024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E4.4</w:t>
            </w:r>
          </w:p>
        </w:tc>
        <w:tc>
          <w:tcPr>
            <w:tcW w:w="3025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Vessel Traffic Service</w:t>
            </w:r>
          </w:p>
        </w:tc>
        <w:tc>
          <w:tcPr>
            <w:tcW w:w="3025" w:type="dxa"/>
          </w:tcPr>
          <w:p w:rsidR="00DA6670" w:rsidRDefault="00BB72F3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Two </w:t>
            </w:r>
            <w:r w:rsidR="00480185">
              <w:rPr>
                <w:szCs w:val="22"/>
              </w:rPr>
              <w:t>options</w:t>
            </w:r>
            <w:r>
              <w:rPr>
                <w:szCs w:val="22"/>
              </w:rPr>
              <w:t>:</w:t>
            </w:r>
          </w:p>
          <w:p w:rsidR="00BB72F3" w:rsidRDefault="00BB72F3" w:rsidP="00BB72F3">
            <w:pPr>
              <w:pStyle w:val="subpara"/>
              <w:numPr>
                <w:ilvl w:val="0"/>
                <w:numId w:val="6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Include. A Vessel Traffic Service operates differently than a Ship Reporting System.</w:t>
            </w:r>
          </w:p>
          <w:p w:rsidR="00BB72F3" w:rsidRPr="00DA6670" w:rsidRDefault="00BB72F3" w:rsidP="00BB72F3">
            <w:pPr>
              <w:pStyle w:val="subpara"/>
              <w:numPr>
                <w:ilvl w:val="0"/>
                <w:numId w:val="6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Do not include. Already covered by E4.1</w:t>
            </w:r>
          </w:p>
        </w:tc>
      </w:tr>
      <w:tr w:rsidR="00DA6670" w:rsidTr="00DA6670">
        <w:tc>
          <w:tcPr>
            <w:tcW w:w="3024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U6.6</w:t>
            </w:r>
          </w:p>
        </w:tc>
        <w:tc>
          <w:tcPr>
            <w:tcW w:w="3025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Seismic Activity</w:t>
            </w:r>
          </w:p>
        </w:tc>
        <w:tc>
          <w:tcPr>
            <w:tcW w:w="3025" w:type="dxa"/>
          </w:tcPr>
          <w:p w:rsid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Only if specific to the area.</w:t>
            </w:r>
          </w:p>
          <w:p w:rsidR="005915E7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Include earthquakes, volcanoes, and tsunamis.</w:t>
            </w:r>
          </w:p>
        </w:tc>
      </w:tr>
      <w:tr w:rsidR="00DA6670" w:rsidTr="00DA6670">
        <w:tc>
          <w:tcPr>
            <w:tcW w:w="3024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U6.7</w:t>
            </w:r>
          </w:p>
        </w:tc>
        <w:tc>
          <w:tcPr>
            <w:tcW w:w="3025" w:type="dxa"/>
          </w:tcPr>
          <w:p w:rsidR="00DA6670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Magnetic Anomalies</w:t>
            </w:r>
          </w:p>
        </w:tc>
        <w:tc>
          <w:tcPr>
            <w:tcW w:w="3025" w:type="dxa"/>
          </w:tcPr>
          <w:p w:rsidR="00F03D0E" w:rsidRDefault="00480185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Add as </w:t>
            </w:r>
            <w:r w:rsidR="00F03D0E">
              <w:rPr>
                <w:szCs w:val="22"/>
              </w:rPr>
              <w:t>text for geographic region. Local variation based on ocean floor magnetism.</w:t>
            </w:r>
          </w:p>
          <w:p w:rsidR="00DA6670" w:rsidRPr="00DA6670" w:rsidRDefault="00F03D0E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F03D0E">
              <w:rPr>
                <w:b/>
                <w:szCs w:val="22"/>
              </w:rPr>
              <w:t>Note.—</w:t>
            </w:r>
            <w:r>
              <w:rPr>
                <w:szCs w:val="22"/>
              </w:rPr>
              <w:t>N</w:t>
            </w:r>
            <w:r w:rsidR="003A798B">
              <w:rPr>
                <w:szCs w:val="22"/>
              </w:rPr>
              <w:t>ew suggestion. N</w:t>
            </w:r>
            <w:r>
              <w:rPr>
                <w:szCs w:val="22"/>
              </w:rPr>
              <w:t>ot in original NIPWG Letter 5/2018.</w:t>
            </w:r>
          </w:p>
        </w:tc>
      </w:tr>
      <w:tr w:rsidR="005915E7" w:rsidTr="00DA6670">
        <w:tc>
          <w:tcPr>
            <w:tcW w:w="3024" w:type="dxa"/>
          </w:tcPr>
          <w:p w:rsidR="005915E7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U6.8</w:t>
            </w:r>
          </w:p>
        </w:tc>
        <w:tc>
          <w:tcPr>
            <w:tcW w:w="3025" w:type="dxa"/>
          </w:tcPr>
          <w:p w:rsidR="005915E7" w:rsidRPr="00DA6670" w:rsidRDefault="005915E7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Maritime Boundaries</w:t>
            </w:r>
          </w:p>
        </w:tc>
        <w:tc>
          <w:tcPr>
            <w:tcW w:w="3025" w:type="dxa"/>
          </w:tcPr>
          <w:p w:rsidR="005915E7" w:rsidRDefault="00F03D0E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Special comments such as EEZ, territorial seas, COLREGS, harbor limits, 3-mile limit, etc.</w:t>
            </w:r>
          </w:p>
          <w:p w:rsidR="008A3B36" w:rsidRPr="00DA6670" w:rsidRDefault="00F03D0E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 w:rsidRPr="00F03D0E">
              <w:rPr>
                <w:b/>
                <w:szCs w:val="22"/>
              </w:rPr>
              <w:t>Note.—</w:t>
            </w:r>
            <w:r>
              <w:rPr>
                <w:szCs w:val="22"/>
              </w:rPr>
              <w:t>N</w:t>
            </w:r>
            <w:r w:rsidR="003A798B">
              <w:rPr>
                <w:szCs w:val="22"/>
              </w:rPr>
              <w:t>ew suggestion. N</w:t>
            </w:r>
            <w:r>
              <w:rPr>
                <w:szCs w:val="22"/>
              </w:rPr>
              <w:t>ot in original NIPWG Letter 5/2018.</w:t>
            </w:r>
          </w:p>
        </w:tc>
      </w:tr>
      <w:tr w:rsidR="003A798B" w:rsidTr="00134A5B">
        <w:tc>
          <w:tcPr>
            <w:tcW w:w="9074" w:type="dxa"/>
            <w:gridSpan w:val="3"/>
          </w:tcPr>
          <w:p w:rsidR="003A798B" w:rsidRDefault="003A798B" w:rsidP="003A798B">
            <w:pPr>
              <w:pStyle w:val="subpara"/>
              <w:ind w:left="0" w:right="84" w:firstLine="0"/>
              <w:jc w:val="center"/>
              <w:rPr>
                <w:szCs w:val="22"/>
              </w:rPr>
            </w:pPr>
            <w:r w:rsidRPr="003A798B">
              <w:rPr>
                <w:b/>
                <w:sz w:val="36"/>
                <w:szCs w:val="36"/>
              </w:rPr>
              <w:t>OTHER ITEMS</w:t>
            </w:r>
          </w:p>
        </w:tc>
      </w:tr>
      <w:tr w:rsidR="008A3B36" w:rsidTr="001755D1">
        <w:tc>
          <w:tcPr>
            <w:tcW w:w="3024" w:type="dxa"/>
            <w:tcBorders>
              <w:bottom w:val="single" w:sz="4" w:space="0" w:color="auto"/>
            </w:tcBorders>
          </w:tcPr>
          <w:p w:rsidR="008A3B36" w:rsidRDefault="003A798B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E2.3</w:t>
            </w: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:rsidR="008A3B36" w:rsidRDefault="003A798B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Underkeel</w:t>
            </w:r>
            <w:proofErr w:type="spellEnd"/>
            <w:r>
              <w:rPr>
                <w:szCs w:val="22"/>
              </w:rPr>
              <w:t xml:space="preserve"> clearance criteria</w:t>
            </w:r>
          </w:p>
        </w:tc>
        <w:tc>
          <w:tcPr>
            <w:tcW w:w="3025" w:type="dxa"/>
          </w:tcPr>
          <w:p w:rsidR="008A3B36" w:rsidRDefault="003A798B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See </w:t>
            </w:r>
            <w:r w:rsidRPr="003A798B">
              <w:rPr>
                <w:b/>
                <w:szCs w:val="22"/>
              </w:rPr>
              <w:t>Analysis/Discussion</w:t>
            </w:r>
            <w:r>
              <w:rPr>
                <w:szCs w:val="22"/>
              </w:rPr>
              <w:t xml:space="preserve"> section of main paper</w:t>
            </w:r>
          </w:p>
        </w:tc>
      </w:tr>
      <w:tr w:rsidR="008A3B36" w:rsidTr="001755D1">
        <w:tc>
          <w:tcPr>
            <w:tcW w:w="6049" w:type="dxa"/>
            <w:gridSpan w:val="2"/>
            <w:tcBorders>
              <w:bottom w:val="single" w:sz="4" w:space="0" w:color="auto"/>
            </w:tcBorders>
          </w:tcPr>
          <w:p w:rsidR="008A3B36" w:rsidRDefault="008A3B36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Is </w:t>
            </w:r>
            <w:r w:rsidR="001755D1">
              <w:rPr>
                <w:szCs w:val="22"/>
              </w:rPr>
              <w:t xml:space="preserve">the current </w:t>
            </w:r>
            <w:r>
              <w:rPr>
                <w:szCs w:val="22"/>
              </w:rPr>
              <w:t>information in S-49 in proper E/U/N Subject Matter Categories?</w:t>
            </w: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:rsidR="008A3B36" w:rsidRDefault="008A3B36" w:rsidP="004811F6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Consensus is </w:t>
            </w:r>
            <w:r w:rsidR="004811F6">
              <w:rPr>
                <w:szCs w:val="22"/>
              </w:rPr>
              <w:t>Y</w:t>
            </w:r>
            <w:r>
              <w:rPr>
                <w:szCs w:val="22"/>
              </w:rPr>
              <w:t>es.</w:t>
            </w:r>
          </w:p>
        </w:tc>
      </w:tr>
      <w:tr w:rsidR="008A3B36" w:rsidTr="001755D1">
        <w:tc>
          <w:tcPr>
            <w:tcW w:w="6049" w:type="dxa"/>
            <w:gridSpan w:val="2"/>
            <w:tcBorders>
              <w:right w:val="single" w:sz="4" w:space="0" w:color="auto"/>
            </w:tcBorders>
          </w:tcPr>
          <w:p w:rsidR="008A3B36" w:rsidRDefault="008A3B36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Is any </w:t>
            </w:r>
            <w:r w:rsidR="001755D1">
              <w:rPr>
                <w:szCs w:val="22"/>
              </w:rPr>
              <w:t xml:space="preserve">current </w:t>
            </w:r>
            <w:r>
              <w:rPr>
                <w:szCs w:val="22"/>
              </w:rPr>
              <w:t>information in S-49 in E/U/N Subject Matter Categories appropriate for deletion?</w:t>
            </w:r>
          </w:p>
        </w:tc>
        <w:tc>
          <w:tcPr>
            <w:tcW w:w="3025" w:type="dxa"/>
            <w:tcBorders>
              <w:left w:val="single" w:sz="4" w:space="0" w:color="auto"/>
            </w:tcBorders>
          </w:tcPr>
          <w:p w:rsidR="008A3B36" w:rsidRDefault="008A3B36" w:rsidP="004811F6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Consensus is </w:t>
            </w:r>
            <w:r w:rsidR="004811F6">
              <w:rPr>
                <w:szCs w:val="22"/>
              </w:rPr>
              <w:t>N</w:t>
            </w:r>
            <w:r>
              <w:rPr>
                <w:szCs w:val="22"/>
              </w:rPr>
              <w:t>o.</w:t>
            </w:r>
          </w:p>
        </w:tc>
      </w:tr>
      <w:tr w:rsidR="00656172" w:rsidTr="001755D1">
        <w:tc>
          <w:tcPr>
            <w:tcW w:w="604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56172" w:rsidRDefault="00656172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Are any modifications/changes/updates necessary for Section 1, 2, or 3?</w:t>
            </w:r>
          </w:p>
        </w:tc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:rsidR="00656172" w:rsidRDefault="00656172" w:rsidP="004811F6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Consensus is </w:t>
            </w:r>
            <w:r w:rsidR="004811F6">
              <w:rPr>
                <w:szCs w:val="22"/>
              </w:rPr>
              <w:t>N</w:t>
            </w:r>
            <w:r>
              <w:rPr>
                <w:szCs w:val="22"/>
              </w:rPr>
              <w:t>o.</w:t>
            </w:r>
          </w:p>
        </w:tc>
      </w:tr>
      <w:tr w:rsidR="00656172" w:rsidTr="001755D1">
        <w:tc>
          <w:tcPr>
            <w:tcW w:w="3024" w:type="dxa"/>
            <w:tcBorders>
              <w:right w:val="single" w:sz="4" w:space="0" w:color="auto"/>
            </w:tcBorders>
          </w:tcPr>
          <w:p w:rsidR="00656172" w:rsidRDefault="00656172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Section 4—Availability of Mariners’ Routeing Guides</w:t>
            </w:r>
          </w:p>
        </w:tc>
        <w:tc>
          <w:tcPr>
            <w:tcW w:w="6050" w:type="dxa"/>
            <w:gridSpan w:val="2"/>
            <w:tcBorders>
              <w:left w:val="single" w:sz="4" w:space="0" w:color="auto"/>
            </w:tcBorders>
          </w:tcPr>
          <w:p w:rsidR="00656172" w:rsidRDefault="00480185" w:rsidP="00DA6670">
            <w:pPr>
              <w:pStyle w:val="subpara"/>
              <w:ind w:left="0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>Three options</w:t>
            </w:r>
            <w:r w:rsidR="00656172">
              <w:rPr>
                <w:szCs w:val="22"/>
              </w:rPr>
              <w:t>:</w:t>
            </w:r>
          </w:p>
          <w:p w:rsidR="00656172" w:rsidRDefault="00656172" w:rsidP="00656172">
            <w:pPr>
              <w:pStyle w:val="subpara"/>
              <w:numPr>
                <w:ilvl w:val="0"/>
                <w:numId w:val="3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No changes</w:t>
            </w:r>
            <w:r w:rsidR="00EF1986">
              <w:rPr>
                <w:szCs w:val="22"/>
              </w:rPr>
              <w:t xml:space="preserve"> to format</w:t>
            </w:r>
            <w:r>
              <w:rPr>
                <w:szCs w:val="22"/>
              </w:rPr>
              <w:t>.</w:t>
            </w:r>
          </w:p>
          <w:p w:rsidR="00656172" w:rsidRDefault="00656172" w:rsidP="00656172">
            <w:pPr>
              <w:pStyle w:val="subpara"/>
              <w:numPr>
                <w:ilvl w:val="0"/>
                <w:numId w:val="3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Only provide web link to individual HO </w:t>
            </w:r>
            <w:proofErr w:type="spellStart"/>
            <w:r>
              <w:rPr>
                <w:szCs w:val="22"/>
              </w:rPr>
              <w:t>catalogs</w:t>
            </w:r>
            <w:proofErr w:type="spellEnd"/>
            <w:r>
              <w:rPr>
                <w:szCs w:val="22"/>
              </w:rPr>
              <w:t>.</w:t>
            </w:r>
          </w:p>
          <w:p w:rsidR="00656172" w:rsidRDefault="00656172" w:rsidP="00656172">
            <w:pPr>
              <w:pStyle w:val="subpara"/>
              <w:numPr>
                <w:ilvl w:val="0"/>
                <w:numId w:val="3"/>
              </w:numPr>
              <w:ind w:right="84"/>
              <w:jc w:val="left"/>
              <w:rPr>
                <w:szCs w:val="22"/>
              </w:rPr>
            </w:pPr>
            <w:r>
              <w:rPr>
                <w:szCs w:val="22"/>
              </w:rPr>
              <w:t>Delete entirely.</w:t>
            </w:r>
          </w:p>
          <w:p w:rsidR="0087261B" w:rsidRDefault="00656172" w:rsidP="004F0B11">
            <w:pPr>
              <w:pStyle w:val="subpara"/>
              <w:ind w:left="32" w:right="84" w:firstLine="0"/>
              <w:jc w:val="left"/>
              <w:rPr>
                <w:szCs w:val="22"/>
              </w:rPr>
            </w:pPr>
            <w:r w:rsidRPr="004F0B11">
              <w:rPr>
                <w:b/>
                <w:szCs w:val="22"/>
              </w:rPr>
              <w:t>Note.—</w:t>
            </w:r>
            <w:r>
              <w:rPr>
                <w:szCs w:val="22"/>
              </w:rPr>
              <w:t>No consensus</w:t>
            </w:r>
            <w:r w:rsidR="00EF1986">
              <w:rPr>
                <w:szCs w:val="22"/>
              </w:rPr>
              <w:t>.</w:t>
            </w:r>
            <w:r>
              <w:rPr>
                <w:szCs w:val="22"/>
              </w:rPr>
              <w:t xml:space="preserve"> Even split between No. 1</w:t>
            </w:r>
            <w:r w:rsidR="004F0B11">
              <w:rPr>
                <w:szCs w:val="22"/>
              </w:rPr>
              <w:t>,</w:t>
            </w:r>
            <w:r>
              <w:rPr>
                <w:szCs w:val="22"/>
              </w:rPr>
              <w:t xml:space="preserve"> No. 3</w:t>
            </w:r>
            <w:r w:rsidR="004F0B11">
              <w:rPr>
                <w:szCs w:val="22"/>
              </w:rPr>
              <w:t>, and no opinion</w:t>
            </w:r>
            <w:r>
              <w:rPr>
                <w:szCs w:val="22"/>
              </w:rPr>
              <w:t>. Need further discussion at NIPWG 6.</w:t>
            </w:r>
          </w:p>
          <w:p w:rsidR="00656172" w:rsidRDefault="00AE7B09" w:rsidP="00871D09">
            <w:pPr>
              <w:pStyle w:val="subpara"/>
              <w:ind w:left="32" w:right="84"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updated S-49 </w:t>
            </w:r>
            <w:proofErr w:type="gramStart"/>
            <w:r w:rsidR="0087261B">
              <w:rPr>
                <w:szCs w:val="22"/>
              </w:rPr>
              <w:t>is</w:t>
            </w:r>
            <w:r>
              <w:rPr>
                <w:szCs w:val="22"/>
              </w:rPr>
              <w:t xml:space="preserve"> promulgated</w:t>
            </w:r>
            <w:proofErr w:type="gramEnd"/>
            <w:r>
              <w:rPr>
                <w:szCs w:val="22"/>
              </w:rPr>
              <w:t xml:space="preserve"> as a Revision (</w:t>
            </w:r>
            <w:r w:rsidR="0087261B">
              <w:rPr>
                <w:szCs w:val="22"/>
              </w:rPr>
              <w:t>n.n.0/</w:t>
            </w:r>
            <w:r>
              <w:rPr>
                <w:szCs w:val="22"/>
              </w:rPr>
              <w:t>2.1.0)</w:t>
            </w:r>
            <w:r w:rsidR="0087261B">
              <w:rPr>
                <w:szCs w:val="22"/>
              </w:rPr>
              <w:t xml:space="preserve">, which would need Member State approval. If option 1 or 2 </w:t>
            </w:r>
            <w:proofErr w:type="gramStart"/>
            <w:r w:rsidR="0087261B">
              <w:rPr>
                <w:szCs w:val="22"/>
              </w:rPr>
              <w:t>is adopted</w:t>
            </w:r>
            <w:proofErr w:type="gramEnd"/>
            <w:r w:rsidR="0087261B">
              <w:rPr>
                <w:szCs w:val="22"/>
              </w:rPr>
              <w:t xml:space="preserve">, any subsequent changes made </w:t>
            </w:r>
            <w:r w:rsidR="00480185">
              <w:rPr>
                <w:szCs w:val="22"/>
              </w:rPr>
              <w:t xml:space="preserve">in Revision 2.1.0 </w:t>
            </w:r>
            <w:r w:rsidR="0087261B">
              <w:rPr>
                <w:szCs w:val="22"/>
              </w:rPr>
              <w:t>to the list of Mariners’ Routeing Guides or the HO’s URLs should be considered</w:t>
            </w:r>
            <w:r w:rsidR="00480185">
              <w:rPr>
                <w:szCs w:val="22"/>
              </w:rPr>
              <w:t xml:space="preserve"> as</w:t>
            </w:r>
            <w:r w:rsidR="0087261B">
              <w:rPr>
                <w:szCs w:val="22"/>
              </w:rPr>
              <w:t xml:space="preserve"> </w:t>
            </w:r>
            <w:r w:rsidR="00785D59">
              <w:rPr>
                <w:szCs w:val="22"/>
              </w:rPr>
              <w:t xml:space="preserve">amending or </w:t>
            </w:r>
            <w:r w:rsidR="00871D09">
              <w:rPr>
                <w:szCs w:val="22"/>
              </w:rPr>
              <w:t xml:space="preserve">updating “cross references” and promulgated as a </w:t>
            </w:r>
            <w:r w:rsidR="0087261B">
              <w:rPr>
                <w:szCs w:val="22"/>
              </w:rPr>
              <w:t>Clarification (</w:t>
            </w:r>
            <w:proofErr w:type="spellStart"/>
            <w:r w:rsidR="0087261B">
              <w:rPr>
                <w:szCs w:val="22"/>
              </w:rPr>
              <w:t>n.n.n</w:t>
            </w:r>
            <w:proofErr w:type="spellEnd"/>
            <w:r w:rsidR="0087261B">
              <w:rPr>
                <w:szCs w:val="22"/>
              </w:rPr>
              <w:t>/2.1.n)</w:t>
            </w:r>
            <w:r w:rsidR="00DE2A8C">
              <w:rPr>
                <w:szCs w:val="22"/>
              </w:rPr>
              <w:t xml:space="preserve"> as described in </w:t>
            </w:r>
            <w:r w:rsidR="00785D59">
              <w:rPr>
                <w:szCs w:val="22"/>
              </w:rPr>
              <w:t>Paragraph 5.1 of IHO Reso</w:t>
            </w:r>
            <w:r w:rsidR="00DE2A8C">
              <w:rPr>
                <w:szCs w:val="22"/>
              </w:rPr>
              <w:t>lution 2/2007</w:t>
            </w:r>
            <w:r w:rsidR="0087261B">
              <w:rPr>
                <w:szCs w:val="22"/>
              </w:rPr>
              <w:t>, which only requires HSSC approval</w:t>
            </w:r>
            <w:r>
              <w:rPr>
                <w:szCs w:val="22"/>
              </w:rPr>
              <w:t xml:space="preserve">. </w:t>
            </w:r>
          </w:p>
        </w:tc>
      </w:tr>
    </w:tbl>
    <w:p w:rsidR="00DA6670" w:rsidRPr="00073FEC" w:rsidRDefault="00DA6670" w:rsidP="00DA6670">
      <w:pPr>
        <w:pStyle w:val="subpara"/>
        <w:ind w:left="0" w:right="84" w:firstLine="0"/>
        <w:jc w:val="left"/>
        <w:rPr>
          <w:b/>
          <w:szCs w:val="22"/>
        </w:rPr>
      </w:pPr>
    </w:p>
    <w:sectPr w:rsidR="00DA6670" w:rsidRPr="00073FEC" w:rsidSect="00F6413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1411" w:bottom="72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11" w:rsidRDefault="001A5211">
      <w:r>
        <w:separator/>
      </w:r>
    </w:p>
  </w:endnote>
  <w:endnote w:type="continuationSeparator" w:id="0">
    <w:p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13A" w:rsidRPr="00F6413A" w:rsidRDefault="00B468C3" w:rsidP="00B468C3">
    <w:pPr>
      <w:pStyle w:val="Footer"/>
      <w:rPr>
        <w:rFonts w:ascii="Courier" w:hAnsi="Courier" w:cs="Arial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  <w:p w:rsidR="00F6413A" w:rsidRPr="00F6413A" w:rsidRDefault="00F6413A" w:rsidP="00B468C3">
    <w:pPr>
      <w:pStyle w:val="Footer"/>
      <w:rPr>
        <w:rFonts w:ascii="Courier" w:hAnsi="Courier" w:cs="Arial"/>
        <w:szCs w:val="16"/>
      </w:rPr>
    </w:pPr>
  </w:p>
  <w:p w:rsidR="00B468C3" w:rsidRDefault="00F6413A" w:rsidP="00F6413A">
    <w:pPr>
      <w:pStyle w:val="Footer"/>
      <w:jc w:val="center"/>
      <w:rPr>
        <w:rFonts w:ascii="Arial" w:hAnsi="Arial" w:cs="Arial"/>
        <w:sz w:val="16"/>
        <w:szCs w:val="16"/>
      </w:rPr>
    </w:pPr>
    <w:r w:rsidRPr="00F6413A">
      <w:rPr>
        <w:rFonts w:ascii="Courier" w:hAnsi="Courier" w:cs="Arial"/>
        <w:szCs w:val="16"/>
      </w:rPr>
      <w:t>UNCLASSIFIED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13A" w:rsidRDefault="00F6413A" w:rsidP="00F6413A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  <w:p w:rsidR="00F6413A" w:rsidRPr="00F6413A" w:rsidRDefault="00F6413A">
    <w:pPr>
      <w:pStyle w:val="Footer"/>
      <w:rPr>
        <w:rFonts w:ascii="Courier" w:hAnsi="Courier"/>
      </w:rPr>
    </w:pPr>
  </w:p>
  <w:p w:rsidR="006811C3" w:rsidRDefault="00F6413A" w:rsidP="00F6413A">
    <w:pPr>
      <w:pStyle w:val="Footer"/>
      <w:jc w:val="center"/>
    </w:pPr>
    <w:r w:rsidRPr="00F6413A">
      <w:rPr>
        <w:rFonts w:ascii="Courier" w:hAnsi="Courier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11" w:rsidRDefault="001A5211">
      <w:r>
        <w:separator/>
      </w:r>
    </w:p>
  </w:footnote>
  <w:footnote w:type="continuationSeparator" w:id="0">
    <w:p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13A" w:rsidRPr="00F6413A" w:rsidRDefault="00F6413A" w:rsidP="00F6413A">
    <w:pPr>
      <w:pStyle w:val="Header"/>
      <w:jc w:val="center"/>
      <w:rPr>
        <w:rFonts w:ascii="Courier" w:hAnsi="Courier"/>
      </w:rPr>
    </w:pPr>
    <w:r w:rsidRPr="00F6413A">
      <w:rPr>
        <w:rFonts w:ascii="Courier" w:hAnsi="Courier"/>
      </w:rPr>
      <w:t>UNCLASSIFIED</w:t>
    </w:r>
  </w:p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13A" w:rsidRPr="00F6413A" w:rsidRDefault="00F6413A" w:rsidP="00F6413A">
    <w:pPr>
      <w:pStyle w:val="Header"/>
      <w:jc w:val="center"/>
      <w:rPr>
        <w:rFonts w:ascii="Courier" w:hAnsi="Courier"/>
      </w:rPr>
    </w:pPr>
    <w:r w:rsidRPr="00F6413A">
      <w:rPr>
        <w:rFonts w:ascii="Courier" w:hAnsi="Courier"/>
      </w:rPr>
      <w:t>UNCLASSIFIED</w:t>
    </w:r>
  </w:p>
  <w:p w:rsidR="00F6413A" w:rsidRDefault="00F6413A" w:rsidP="00F6413A">
    <w:pPr>
      <w:pStyle w:val="Header"/>
    </w:pPr>
  </w:p>
  <w:p w:rsidR="006811C3" w:rsidRDefault="00681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29D6"/>
    <w:multiLevelType w:val="hybridMultilevel"/>
    <w:tmpl w:val="18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14BD"/>
    <w:multiLevelType w:val="hybridMultilevel"/>
    <w:tmpl w:val="09EE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587"/>
    <w:multiLevelType w:val="hybridMultilevel"/>
    <w:tmpl w:val="981E438A"/>
    <w:lvl w:ilvl="0" w:tplc="73ACE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5AE15EF"/>
    <w:multiLevelType w:val="hybridMultilevel"/>
    <w:tmpl w:val="B79EC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1D0B"/>
    <w:multiLevelType w:val="hybridMultilevel"/>
    <w:tmpl w:val="ACF2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E300D"/>
    <w:multiLevelType w:val="hybridMultilevel"/>
    <w:tmpl w:val="756C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828BB"/>
    <w:multiLevelType w:val="hybridMultilevel"/>
    <w:tmpl w:val="EA8C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107BFB"/>
    <w:rsid w:val="001755D1"/>
    <w:rsid w:val="00185399"/>
    <w:rsid w:val="001A5211"/>
    <w:rsid w:val="001B6177"/>
    <w:rsid w:val="001C5969"/>
    <w:rsid w:val="001C7F97"/>
    <w:rsid w:val="001D40DA"/>
    <w:rsid w:val="001D65F4"/>
    <w:rsid w:val="00220711"/>
    <w:rsid w:val="00220E0D"/>
    <w:rsid w:val="0023741C"/>
    <w:rsid w:val="00245237"/>
    <w:rsid w:val="00263090"/>
    <w:rsid w:val="0029441E"/>
    <w:rsid w:val="002958A1"/>
    <w:rsid w:val="002A2D84"/>
    <w:rsid w:val="003253C7"/>
    <w:rsid w:val="00330437"/>
    <w:rsid w:val="003A3D3C"/>
    <w:rsid w:val="003A798B"/>
    <w:rsid w:val="003C4771"/>
    <w:rsid w:val="003D0D49"/>
    <w:rsid w:val="003D6613"/>
    <w:rsid w:val="004014D5"/>
    <w:rsid w:val="00416EF0"/>
    <w:rsid w:val="00435359"/>
    <w:rsid w:val="00442030"/>
    <w:rsid w:val="00471D90"/>
    <w:rsid w:val="00480185"/>
    <w:rsid w:val="004811F6"/>
    <w:rsid w:val="0048675E"/>
    <w:rsid w:val="004D1C82"/>
    <w:rsid w:val="004F0B11"/>
    <w:rsid w:val="004F5A06"/>
    <w:rsid w:val="00515C69"/>
    <w:rsid w:val="00517705"/>
    <w:rsid w:val="00527199"/>
    <w:rsid w:val="005311C7"/>
    <w:rsid w:val="005915E7"/>
    <w:rsid w:val="005957D2"/>
    <w:rsid w:val="005D016A"/>
    <w:rsid w:val="00642AC2"/>
    <w:rsid w:val="00656172"/>
    <w:rsid w:val="006811C3"/>
    <w:rsid w:val="00683234"/>
    <w:rsid w:val="0068555A"/>
    <w:rsid w:val="00693D92"/>
    <w:rsid w:val="006B035E"/>
    <w:rsid w:val="006D409C"/>
    <w:rsid w:val="006D42A4"/>
    <w:rsid w:val="006D4731"/>
    <w:rsid w:val="006E108E"/>
    <w:rsid w:val="006E7378"/>
    <w:rsid w:val="006F11C2"/>
    <w:rsid w:val="006F11DA"/>
    <w:rsid w:val="006F4036"/>
    <w:rsid w:val="00736E0B"/>
    <w:rsid w:val="00785D59"/>
    <w:rsid w:val="00792BA6"/>
    <w:rsid w:val="007C4ED6"/>
    <w:rsid w:val="007C6F0F"/>
    <w:rsid w:val="007D2093"/>
    <w:rsid w:val="007D411B"/>
    <w:rsid w:val="007E0DD7"/>
    <w:rsid w:val="0082458F"/>
    <w:rsid w:val="00846CE3"/>
    <w:rsid w:val="00871D09"/>
    <w:rsid w:val="0087261B"/>
    <w:rsid w:val="00874192"/>
    <w:rsid w:val="00874528"/>
    <w:rsid w:val="00886FAD"/>
    <w:rsid w:val="00892E93"/>
    <w:rsid w:val="008A3B36"/>
    <w:rsid w:val="008A4A31"/>
    <w:rsid w:val="008F47FF"/>
    <w:rsid w:val="00956CEF"/>
    <w:rsid w:val="00961729"/>
    <w:rsid w:val="00961C37"/>
    <w:rsid w:val="00965772"/>
    <w:rsid w:val="009D3EF6"/>
    <w:rsid w:val="00A245FE"/>
    <w:rsid w:val="00A265E1"/>
    <w:rsid w:val="00A37821"/>
    <w:rsid w:val="00A6197D"/>
    <w:rsid w:val="00A63F34"/>
    <w:rsid w:val="00A74B10"/>
    <w:rsid w:val="00A82CB8"/>
    <w:rsid w:val="00A83490"/>
    <w:rsid w:val="00AB27CE"/>
    <w:rsid w:val="00AC745F"/>
    <w:rsid w:val="00AE7B09"/>
    <w:rsid w:val="00B27AE4"/>
    <w:rsid w:val="00B42366"/>
    <w:rsid w:val="00B468C3"/>
    <w:rsid w:val="00BB72F3"/>
    <w:rsid w:val="00BD1204"/>
    <w:rsid w:val="00C3266B"/>
    <w:rsid w:val="00C647A8"/>
    <w:rsid w:val="00C95ED3"/>
    <w:rsid w:val="00CE20F2"/>
    <w:rsid w:val="00CE3137"/>
    <w:rsid w:val="00D33030"/>
    <w:rsid w:val="00D34698"/>
    <w:rsid w:val="00D4327E"/>
    <w:rsid w:val="00D472C3"/>
    <w:rsid w:val="00D75231"/>
    <w:rsid w:val="00D83733"/>
    <w:rsid w:val="00D95821"/>
    <w:rsid w:val="00DA6670"/>
    <w:rsid w:val="00DD0C06"/>
    <w:rsid w:val="00DE2A8C"/>
    <w:rsid w:val="00E678DB"/>
    <w:rsid w:val="00E837BD"/>
    <w:rsid w:val="00ED6648"/>
    <w:rsid w:val="00EE7469"/>
    <w:rsid w:val="00EF1986"/>
    <w:rsid w:val="00EF6842"/>
    <w:rsid w:val="00F03D0E"/>
    <w:rsid w:val="00F506DA"/>
    <w:rsid w:val="00F543C9"/>
    <w:rsid w:val="00F57D6E"/>
    <w:rsid w:val="00F6413A"/>
    <w:rsid w:val="00F7449D"/>
    <w:rsid w:val="00F800E1"/>
    <w:rsid w:val="00F85E14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3AAE6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  <w:style w:type="paragraph" w:customStyle="1" w:styleId="Default">
    <w:name w:val="Default"/>
    <w:rsid w:val="002452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6E0B"/>
    <w:pPr>
      <w:ind w:left="720"/>
      <w:contextualSpacing/>
    </w:pPr>
  </w:style>
  <w:style w:type="table" w:styleId="TableGrid">
    <w:name w:val="Table Grid"/>
    <w:basedOn w:val="TableNormal"/>
    <w:rsid w:val="001C5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lass:Classification xmlns:class="urn:us:gov:cia:enterprise:schema:Classification:2.3" dateClassified="2018-12-19" portionMarking="false" caveat="false" tool="AACG" toolVersion="201810">
  <class:ClassificationMarking type="USClassificationMarking" value="UNCLASSIFIED"/>
  <class:ClassifiedBy>1014764-0</class:ClassifiedBy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195B-7C69-4AD5-8C58-C031B7F1FD75}">
  <ds:schemaRefs>
    <ds:schemaRef ds:uri="urn:us:gov:cia:enterprise:schema:Classification:2.3"/>
  </ds:schemaRefs>
</ds:datastoreItem>
</file>

<file path=customXml/itemProps2.xml><?xml version="1.0" encoding="utf-8"?>
<ds:datastoreItem xmlns:ds="http://schemas.openxmlformats.org/officeDocument/2006/customXml" ds:itemID="{67957A21-3E97-4A83-A240-27DEF31D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1184</Words>
  <Characters>6678</Characters>
  <Application>Microsoft Office Word</Application>
  <DocSecurity>0</DocSecurity>
  <Lines>55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Kushla Michael S Mr NGA-SFHGB USA CIV</cp:lastModifiedBy>
  <cp:revision>51</cp:revision>
  <cp:lastPrinted>2007-11-26T08:44:00Z</cp:lastPrinted>
  <dcterms:created xsi:type="dcterms:W3CDTF">2018-12-19T17:40:00Z</dcterms:created>
  <dcterms:modified xsi:type="dcterms:W3CDTF">2019-01-03T15:17:00Z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PortionWaiver">
    <vt:lpwstr/>
  </property>
  <property fmtid="{D5CDD505-2E9C-101B-9397-08002B2CF9AE}" pid="15" name="AACG_OrconOriginator">
    <vt:lpwstr/>
  </property>
  <property fmtid="{D5CDD505-2E9C-101B-9397-08002B2CF9AE}" pid="16" name="AACG_OrconRecipients">
    <vt:lpwstr/>
  </property>
  <property fmtid="{D5CDD505-2E9C-101B-9397-08002B2CF9AE}" pid="17" name="AACG_SatWarningType">
    <vt:lpwstr/>
  </property>
  <property fmtid="{D5CDD505-2E9C-101B-9397-08002B2CF9AE}" pid="18" name="AACG_NatoWarningClassLevel">
    <vt:lpwstr/>
  </property>
  <property fmtid="{D5CDD505-2E9C-101B-9397-08002B2CF9AE}" pid="19" name="AACG_Version">
    <vt:lpwstr>201810</vt:lpwstr>
  </property>
  <property fmtid="{D5CDD505-2E9C-101B-9397-08002B2CF9AE}" pid="20" name="AACG_CustomClassXMLPart">
    <vt:lpwstr>{D05D195B-7C69-4AD5-8C58-C031B7F1FD75}</vt:lpwstr>
  </property>
</Properties>
</file>