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51" w:rsidRPr="00892E93" w:rsidRDefault="00012BBB" w:rsidP="00E54451">
      <w:pPr>
        <w:jc w:val="right"/>
        <w:rPr>
          <w:rFonts w:ascii="Arial Narrow" w:hAnsi="Arial Narrow"/>
          <w:b/>
          <w:sz w:val="22"/>
          <w:szCs w:val="22"/>
        </w:rPr>
      </w:pPr>
      <w:bookmarkStart w:id="0" w:name="_GoBack"/>
      <w:bookmarkEnd w:id="0"/>
      <w:r>
        <w:rPr>
          <w:rFonts w:ascii="Arial Narrow" w:hAnsi="Arial Narrow"/>
          <w:b/>
          <w:sz w:val="22"/>
          <w:szCs w:val="22"/>
          <w:bdr w:val="single" w:sz="4" w:space="0" w:color="auto"/>
        </w:rPr>
        <w:t>DQWG14</w:t>
      </w:r>
      <w:r w:rsidR="00F55801">
        <w:rPr>
          <w:rFonts w:ascii="Arial Narrow" w:hAnsi="Arial Narrow"/>
          <w:b/>
          <w:sz w:val="22"/>
          <w:szCs w:val="22"/>
          <w:bdr w:val="single" w:sz="4" w:space="0" w:color="auto"/>
        </w:rPr>
        <w:t>-</w:t>
      </w:r>
      <w:r>
        <w:rPr>
          <w:rFonts w:ascii="Arial Narrow" w:hAnsi="Arial Narrow"/>
          <w:b/>
          <w:sz w:val="22"/>
          <w:szCs w:val="22"/>
          <w:bdr w:val="single" w:sz="4" w:space="0" w:color="auto"/>
        </w:rPr>
        <w:t>07</w:t>
      </w:r>
      <w:r w:rsidR="00F55801">
        <w:rPr>
          <w:rFonts w:ascii="Arial Narrow" w:hAnsi="Arial Narrow"/>
          <w:b/>
          <w:sz w:val="22"/>
          <w:szCs w:val="22"/>
          <w:bdr w:val="single" w:sz="4" w:space="0" w:color="auto"/>
        </w:rPr>
        <w:t>A</w:t>
      </w:r>
      <w:r w:rsidR="00E54451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</w:p>
    <w:p w:rsidR="00E54451" w:rsidRPr="00F543C9" w:rsidRDefault="00E54451" w:rsidP="00E54451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F55801">
        <w:rPr>
          <w:szCs w:val="22"/>
        </w:rPr>
        <w:t>Data Quality Working Group</w:t>
      </w:r>
    </w:p>
    <w:p w:rsidR="00E54451" w:rsidRPr="00F543C9" w:rsidRDefault="00012BBB" w:rsidP="00E54451">
      <w:pPr>
        <w:pStyle w:val="Heading2"/>
        <w:jc w:val="center"/>
        <w:rPr>
          <w:szCs w:val="22"/>
        </w:rPr>
      </w:pPr>
      <w:r>
        <w:rPr>
          <w:szCs w:val="22"/>
        </w:rPr>
        <w:t>Method to harmonize DQ aspects for S-1xx based Product Specifications</w:t>
      </w:r>
    </w:p>
    <w:p w:rsidR="00E54451" w:rsidRPr="00F543C9" w:rsidRDefault="00E54451" w:rsidP="00E54451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E54451" w:rsidRPr="00F543C9" w:rsidTr="00D04CE2">
        <w:trPr>
          <w:jc w:val="center"/>
        </w:trPr>
        <w:tc>
          <w:tcPr>
            <w:tcW w:w="2634" w:type="dxa"/>
          </w:tcPr>
          <w:p w:rsidR="00E54451" w:rsidRPr="00F543C9" w:rsidRDefault="00E54451" w:rsidP="00D04CE2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E54451" w:rsidRPr="00F543C9" w:rsidRDefault="00012BBB" w:rsidP="00D04CE2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DQWG Chair</w:t>
            </w:r>
          </w:p>
        </w:tc>
      </w:tr>
      <w:tr w:rsidR="00E54451" w:rsidRPr="00F543C9" w:rsidTr="00D04CE2">
        <w:trPr>
          <w:jc w:val="center"/>
        </w:trPr>
        <w:tc>
          <w:tcPr>
            <w:tcW w:w="2634" w:type="dxa"/>
          </w:tcPr>
          <w:p w:rsidR="00E54451" w:rsidRPr="00F543C9" w:rsidRDefault="00E54451" w:rsidP="00D04CE2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E54451" w:rsidRPr="00F543C9" w:rsidRDefault="00012BBB" w:rsidP="00012BBB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 xml:space="preserve">Proposal to verify </w:t>
            </w:r>
            <w:r w:rsidRPr="00012BBB">
              <w:rPr>
                <w:rFonts w:ascii="Arial Narrow" w:hAnsi="Arial Narrow"/>
                <w:sz w:val="22"/>
                <w:szCs w:val="22"/>
                <w:lang w:val="en-AU"/>
              </w:rPr>
              <w:t>the data quality aspects are addressed in an appropriate and harmonized way for all S-100 based product specifications</w:t>
            </w:r>
            <w:r w:rsidR="00E54451" w:rsidRPr="00F543C9">
              <w:rPr>
                <w:rFonts w:ascii="Arial Narrow" w:hAnsi="Arial Narrow"/>
                <w:sz w:val="22"/>
                <w:szCs w:val="22"/>
                <w:lang w:val="en-AU"/>
              </w:rPr>
              <w:t>.</w:t>
            </w:r>
          </w:p>
        </w:tc>
      </w:tr>
      <w:tr w:rsidR="00E54451" w:rsidRPr="00F543C9" w:rsidTr="00D04CE2">
        <w:trPr>
          <w:jc w:val="center"/>
        </w:trPr>
        <w:tc>
          <w:tcPr>
            <w:tcW w:w="2634" w:type="dxa"/>
          </w:tcPr>
          <w:p w:rsidR="00E54451" w:rsidRPr="00F543C9" w:rsidRDefault="00E54451" w:rsidP="00D04CE2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E54451" w:rsidRPr="00F543C9" w:rsidRDefault="00012BBB" w:rsidP="00D04CE2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S-97 part C – Data Quality</w:t>
            </w:r>
            <w:r w:rsidR="002C12A8">
              <w:rPr>
                <w:rFonts w:ascii="Arial Narrow" w:hAnsi="Arial Narrow"/>
                <w:sz w:val="22"/>
                <w:szCs w:val="22"/>
                <w:lang w:val="en-AU"/>
              </w:rPr>
              <w:t>, DQWG Terms of Reference (HSSC-9)</w:t>
            </w:r>
          </w:p>
        </w:tc>
      </w:tr>
      <w:tr w:rsidR="00E54451" w:rsidRPr="00F543C9" w:rsidTr="00D04CE2">
        <w:trPr>
          <w:jc w:val="center"/>
        </w:trPr>
        <w:tc>
          <w:tcPr>
            <w:tcW w:w="2634" w:type="dxa"/>
          </w:tcPr>
          <w:p w:rsidR="00E54451" w:rsidRPr="00F543C9" w:rsidRDefault="00E54451" w:rsidP="00D04CE2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E54451" w:rsidRPr="00F543C9" w:rsidRDefault="00012BBB" w:rsidP="002C12A8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>
              <w:rPr>
                <w:rFonts w:ascii="Arial Narrow" w:hAnsi="Arial Narrow"/>
                <w:sz w:val="22"/>
                <w:szCs w:val="22"/>
                <w:lang w:val="en-AU"/>
              </w:rPr>
              <w:t>Product Specifications of S-1xx</w:t>
            </w:r>
            <w:r w:rsidR="002C12A8">
              <w:rPr>
                <w:rFonts w:ascii="Arial Narrow" w:hAnsi="Arial Narrow"/>
                <w:sz w:val="22"/>
                <w:szCs w:val="22"/>
                <w:lang w:val="en-AU"/>
              </w:rPr>
              <w:t>.</w:t>
            </w:r>
          </w:p>
        </w:tc>
      </w:tr>
    </w:tbl>
    <w:p w:rsidR="00E54451" w:rsidRPr="00F543C9" w:rsidRDefault="00E54451" w:rsidP="00E54451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E54451" w:rsidRPr="00F543C9" w:rsidRDefault="00012BBB" w:rsidP="00E54451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DQWG is given the task by the HSSC t</w:t>
      </w:r>
      <w:r w:rsidRPr="00012BBB">
        <w:rPr>
          <w:rFonts w:ascii="Arial Narrow" w:hAnsi="Arial Narrow"/>
          <w:sz w:val="22"/>
          <w:szCs w:val="22"/>
          <w:lang w:val="en-AU"/>
        </w:rPr>
        <w:t>o ensure that the data quality aspects are addressed in an appropriate and harmonized way for all S-100 based product specifications</w:t>
      </w:r>
      <w:r w:rsidR="00E54451" w:rsidRPr="00F543C9">
        <w:rPr>
          <w:rFonts w:ascii="Arial Narrow" w:hAnsi="Arial Narrow"/>
          <w:sz w:val="22"/>
          <w:szCs w:val="22"/>
          <w:lang w:val="en-AU"/>
        </w:rPr>
        <w:t>.</w:t>
      </w:r>
      <w:r>
        <w:rPr>
          <w:rFonts w:ascii="Arial Narrow" w:hAnsi="Arial Narrow"/>
          <w:sz w:val="22"/>
          <w:szCs w:val="22"/>
          <w:lang w:val="en-AU"/>
        </w:rPr>
        <w:t xml:space="preserve"> As S-1xx Product Specifications (PS) are now in the process of testing (version 1.0.0), a verification is required that these PS are aligned with the recommendations provided in S-97 part C – Data Quality.</w:t>
      </w:r>
    </w:p>
    <w:p w:rsidR="00E54451" w:rsidRPr="00F543C9" w:rsidRDefault="00E54451" w:rsidP="00E54451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E54451" w:rsidRDefault="00D04CE2" w:rsidP="00012BBB">
      <w:pPr>
        <w:pStyle w:val="subpara"/>
        <w:ind w:left="0" w:firstLine="0"/>
        <w:rPr>
          <w:szCs w:val="22"/>
        </w:rPr>
      </w:pPr>
      <w:r w:rsidRPr="00D04CE2">
        <w:rPr>
          <w:szCs w:val="22"/>
        </w:rPr>
        <w:t xml:space="preserve">When drafting a Product Specification, the Data Quality Checklist will serve as a guidance document to verify if the appropriate Data Quality Elements have been included in the Product Specification. A Data Quality Element is a quantitative component documenting the quality of a dataset. The applicability of a data quality element to a dataset depends on both the dataset’s content and its Product Specification, the </w:t>
      </w:r>
      <w:proofErr w:type="gramStart"/>
      <w:r w:rsidRPr="00D04CE2">
        <w:rPr>
          <w:szCs w:val="22"/>
        </w:rPr>
        <w:t>result</w:t>
      </w:r>
      <w:proofErr w:type="gramEnd"/>
      <w:r w:rsidRPr="00D04CE2">
        <w:rPr>
          <w:szCs w:val="22"/>
        </w:rPr>
        <w:t xml:space="preserve"> being that all available data quality elements may not be applicable to all datasets.</w:t>
      </w:r>
    </w:p>
    <w:p w:rsidR="00D04CE2" w:rsidRDefault="00D04CE2" w:rsidP="00012BBB">
      <w:pPr>
        <w:pStyle w:val="subpara"/>
        <w:ind w:left="0" w:firstLine="0"/>
        <w:rPr>
          <w:szCs w:val="22"/>
        </w:rPr>
      </w:pPr>
    </w:p>
    <w:p w:rsidR="00D04CE2" w:rsidRDefault="00D04CE2" w:rsidP="00012BBB">
      <w:pPr>
        <w:pStyle w:val="subpara"/>
        <w:ind w:left="0" w:firstLine="0"/>
        <w:rPr>
          <w:szCs w:val="22"/>
        </w:rPr>
      </w:pPr>
      <w:r w:rsidRPr="00D04CE2">
        <w:rPr>
          <w:szCs w:val="22"/>
        </w:rPr>
        <w:t>The place of data quality measures in dataset and exchange set metadata and the encoding of data quality in metadata is described in various ISO standards (ISO 19115, 19139, 19115-1/2/3, ISO 19157) and in S-100 Parts 4a–4c</w:t>
      </w:r>
      <w:r>
        <w:rPr>
          <w:szCs w:val="22"/>
        </w:rPr>
        <w:t>.</w:t>
      </w:r>
    </w:p>
    <w:p w:rsidR="00D04CE2" w:rsidRDefault="00D04CE2" w:rsidP="00012BBB">
      <w:pPr>
        <w:pStyle w:val="subpara"/>
        <w:ind w:left="0" w:firstLine="0"/>
        <w:rPr>
          <w:szCs w:val="22"/>
        </w:rPr>
      </w:pPr>
    </w:p>
    <w:p w:rsidR="00D04CE2" w:rsidRPr="00D04CE2" w:rsidRDefault="00D04CE2" w:rsidP="00D04CE2">
      <w:pPr>
        <w:pStyle w:val="subpara"/>
        <w:ind w:left="0" w:firstLine="0"/>
        <w:rPr>
          <w:szCs w:val="22"/>
        </w:rPr>
      </w:pPr>
      <w:r w:rsidRPr="00D04CE2">
        <w:rPr>
          <w:szCs w:val="22"/>
        </w:rPr>
        <w:t xml:space="preserve">The components of Data Quality Measure can be divided into the following </w:t>
      </w:r>
      <w:r w:rsidR="00A616C8" w:rsidRPr="00D04CE2">
        <w:rPr>
          <w:szCs w:val="22"/>
        </w:rPr>
        <w:t>elements:</w:t>
      </w:r>
    </w:p>
    <w:p w:rsidR="00D04CE2" w:rsidRP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Completeness</w:t>
      </w:r>
      <w:r>
        <w:rPr>
          <w:szCs w:val="22"/>
        </w:rPr>
        <w:t xml:space="preserve">  </w:t>
      </w:r>
      <w:r w:rsidRPr="00D04CE2">
        <w:rPr>
          <w:i/>
          <w:szCs w:val="22"/>
        </w:rPr>
        <w:t>(recommendation 1)</w:t>
      </w:r>
    </w:p>
    <w:p w:rsid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Logical Consistency</w:t>
      </w:r>
    </w:p>
    <w:p w:rsidR="00D04CE2" w:rsidRDefault="00D04CE2" w:rsidP="00D04CE2">
      <w:pPr>
        <w:pStyle w:val="subpara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Conceptual consistency  </w:t>
      </w:r>
      <w:r>
        <w:rPr>
          <w:i/>
          <w:szCs w:val="22"/>
        </w:rPr>
        <w:t>(recommendation 2)</w:t>
      </w:r>
    </w:p>
    <w:p w:rsidR="00D04CE2" w:rsidRDefault="00D04CE2" w:rsidP="00D04CE2">
      <w:pPr>
        <w:pStyle w:val="subpara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Domain consistency  </w:t>
      </w:r>
      <w:r>
        <w:rPr>
          <w:i/>
          <w:szCs w:val="22"/>
        </w:rPr>
        <w:t>(recommendation 3)</w:t>
      </w:r>
    </w:p>
    <w:p w:rsidR="00D04CE2" w:rsidRDefault="00D04CE2" w:rsidP="00D04CE2">
      <w:pPr>
        <w:pStyle w:val="subpara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Format consistency  </w:t>
      </w:r>
      <w:r>
        <w:rPr>
          <w:i/>
          <w:szCs w:val="22"/>
        </w:rPr>
        <w:t>(recommendation 4)</w:t>
      </w:r>
    </w:p>
    <w:p w:rsidR="00D04CE2" w:rsidRPr="00D04CE2" w:rsidRDefault="00D04CE2" w:rsidP="00D04CE2">
      <w:pPr>
        <w:pStyle w:val="subpara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Topological consistency  </w:t>
      </w:r>
      <w:r>
        <w:rPr>
          <w:i/>
          <w:szCs w:val="22"/>
        </w:rPr>
        <w:t>(recommendation 5)</w:t>
      </w:r>
    </w:p>
    <w:p w:rsidR="00D04CE2" w:rsidRP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Positional Accuracy</w:t>
      </w:r>
      <w:r>
        <w:rPr>
          <w:szCs w:val="22"/>
        </w:rPr>
        <w:t xml:space="preserve">  (</w:t>
      </w:r>
      <w:r>
        <w:rPr>
          <w:i/>
          <w:szCs w:val="22"/>
        </w:rPr>
        <w:t>recommendation 6)</w:t>
      </w:r>
    </w:p>
    <w:p w:rsidR="00D04CE2" w:rsidRP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Thematic Accuracy</w:t>
      </w:r>
      <w:r>
        <w:rPr>
          <w:szCs w:val="22"/>
        </w:rPr>
        <w:t xml:space="preserve">  </w:t>
      </w:r>
      <w:r>
        <w:rPr>
          <w:i/>
          <w:szCs w:val="22"/>
        </w:rPr>
        <w:t>(recommendation 7)</w:t>
      </w:r>
    </w:p>
    <w:p w:rsidR="00D04CE2" w:rsidRP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Temporal Quality</w:t>
      </w:r>
      <w:r>
        <w:rPr>
          <w:szCs w:val="22"/>
        </w:rPr>
        <w:t xml:space="preserve">  </w:t>
      </w:r>
      <w:r>
        <w:rPr>
          <w:i/>
          <w:szCs w:val="22"/>
        </w:rPr>
        <w:t>(recommendation 8)</w:t>
      </w:r>
    </w:p>
    <w:p w:rsid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Aggregation  </w:t>
      </w:r>
      <w:r>
        <w:rPr>
          <w:i/>
          <w:szCs w:val="22"/>
        </w:rPr>
        <w:t>(recommendation 9)</w:t>
      </w:r>
    </w:p>
    <w:p w:rsidR="00D04CE2" w:rsidRPr="00D04CE2" w:rsidRDefault="00D04CE2" w:rsidP="00D04CE2">
      <w:pPr>
        <w:pStyle w:val="subpara"/>
        <w:numPr>
          <w:ilvl w:val="0"/>
          <w:numId w:val="1"/>
        </w:numPr>
        <w:rPr>
          <w:szCs w:val="22"/>
        </w:rPr>
      </w:pPr>
      <w:r w:rsidRPr="00D04CE2">
        <w:rPr>
          <w:szCs w:val="22"/>
        </w:rPr>
        <w:t>Usability</w:t>
      </w:r>
      <w:r>
        <w:rPr>
          <w:szCs w:val="22"/>
        </w:rPr>
        <w:t xml:space="preserve">  </w:t>
      </w:r>
      <w:r>
        <w:rPr>
          <w:i/>
          <w:szCs w:val="22"/>
        </w:rPr>
        <w:t>(recommendation 10)</w:t>
      </w:r>
    </w:p>
    <w:p w:rsidR="00D04CE2" w:rsidRDefault="00D04CE2" w:rsidP="00D04CE2">
      <w:pPr>
        <w:pStyle w:val="subpara"/>
        <w:ind w:left="0" w:firstLine="0"/>
        <w:rPr>
          <w:szCs w:val="22"/>
        </w:rPr>
      </w:pPr>
    </w:p>
    <w:p w:rsidR="00D04CE2" w:rsidRDefault="00D04CE2" w:rsidP="00D04CE2">
      <w:pPr>
        <w:pStyle w:val="subpara"/>
        <w:ind w:left="0" w:firstLine="0"/>
        <w:rPr>
          <w:szCs w:val="22"/>
        </w:rPr>
      </w:pPr>
      <w:r>
        <w:rPr>
          <w:szCs w:val="22"/>
        </w:rPr>
        <w:t>In brackets are the ten recommendations from S-97</w:t>
      </w:r>
      <w:r w:rsidR="006B6CA8">
        <w:rPr>
          <w:szCs w:val="22"/>
        </w:rPr>
        <w:t>.</w:t>
      </w:r>
    </w:p>
    <w:p w:rsidR="006B6CA8" w:rsidRDefault="006B6CA8" w:rsidP="00D04CE2">
      <w:pPr>
        <w:pStyle w:val="subpara"/>
        <w:ind w:left="0" w:firstLine="0"/>
        <w:rPr>
          <w:szCs w:val="22"/>
        </w:rPr>
      </w:pPr>
    </w:p>
    <w:p w:rsidR="006B6CA8" w:rsidRDefault="006B6CA8">
      <w:pPr>
        <w:spacing w:after="200" w:line="276" w:lineRule="auto"/>
        <w:rPr>
          <w:rFonts w:ascii="Arial Narrow" w:hAnsi="Arial Narrow"/>
          <w:sz w:val="22"/>
          <w:szCs w:val="22"/>
          <w:lang w:val="en-AU"/>
        </w:rPr>
      </w:pPr>
      <w:r>
        <w:rPr>
          <w:szCs w:val="22"/>
        </w:rPr>
        <w:br w:type="page"/>
      </w:r>
    </w:p>
    <w:p w:rsidR="006B6CA8" w:rsidRDefault="006B6CA8" w:rsidP="00D04CE2">
      <w:pPr>
        <w:pStyle w:val="subpara"/>
        <w:ind w:left="0" w:firstLine="0"/>
        <w:rPr>
          <w:szCs w:val="22"/>
        </w:rPr>
      </w:pPr>
      <w:r w:rsidRPr="006B6CA8">
        <w:rPr>
          <w:szCs w:val="22"/>
        </w:rPr>
        <w:lastRenderedPageBreak/>
        <w:t xml:space="preserve">All Product Specifications should have a paragraph describing Data Quality. To ensure harmonization across different Product Specifications, DQWG recommends that all Product Specifications share a common text </w:t>
      </w:r>
      <w:r w:rsidR="002C12A8">
        <w:rPr>
          <w:szCs w:val="22"/>
        </w:rPr>
        <w:t xml:space="preserve">as a template </w:t>
      </w:r>
      <w:r w:rsidRPr="006B6CA8">
        <w:rPr>
          <w:szCs w:val="22"/>
        </w:rPr>
        <w:t>explaining the concept of Data Quality -&gt; Introduction to Data Quality. The text below is a proposal for this common introduction:</w:t>
      </w:r>
    </w:p>
    <w:p w:rsidR="006B6CA8" w:rsidRDefault="00182EC3" w:rsidP="00D04CE2">
      <w:pPr>
        <w:pStyle w:val="subpara"/>
        <w:ind w:left="0" w:firstLine="0"/>
        <w:rPr>
          <w:szCs w:val="22"/>
        </w:rPr>
      </w:pPr>
      <w:r>
        <w:rPr>
          <w:szCs w:val="22"/>
        </w:rPr>
        <w:t>“</w:t>
      </w:r>
    </w:p>
    <w:p w:rsidR="006B6CA8" w:rsidRDefault="006B6CA8" w:rsidP="00D04CE2">
      <w:pPr>
        <w:pStyle w:val="subpara"/>
        <w:ind w:left="0" w:firstLine="0"/>
        <w:rPr>
          <w:szCs w:val="22"/>
        </w:rPr>
      </w:pPr>
      <w:r w:rsidRPr="006B6CA8">
        <w:rPr>
          <w:szCs w:val="22"/>
        </w:rPr>
        <w:t>Data quality allows users and user systems to assess fitness for use of the provided data. Data quality measures and the associated evaluation are reported as metadata of a data product. This metadata improves interoperability with other data products and provides usage by user groups that the data product was not originally intended for. The secondary users can make</w:t>
      </w:r>
      <w:r>
        <w:rPr>
          <w:szCs w:val="22"/>
        </w:rPr>
        <w:t xml:space="preserve"> </w:t>
      </w:r>
      <w:r w:rsidRPr="006B6CA8">
        <w:rPr>
          <w:szCs w:val="22"/>
        </w:rPr>
        <w:t>assessments of the data product usefulness in their application based on the reported data quality measures.</w:t>
      </w:r>
    </w:p>
    <w:p w:rsidR="00182EC3" w:rsidRDefault="00182EC3" w:rsidP="00D04CE2">
      <w:pPr>
        <w:pStyle w:val="subpara"/>
        <w:ind w:left="0" w:firstLine="0"/>
        <w:rPr>
          <w:szCs w:val="22"/>
        </w:rPr>
      </w:pPr>
      <w:r>
        <w:rPr>
          <w:szCs w:val="22"/>
        </w:rPr>
        <w:t>“</w:t>
      </w:r>
    </w:p>
    <w:p w:rsidR="00E54451" w:rsidRPr="00F543C9" w:rsidRDefault="00E54451" w:rsidP="00E54451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E54451" w:rsidRPr="00F543C9" w:rsidRDefault="00182EC3" w:rsidP="00E54451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To improve interoperability between different S-1xx based products, appropriate Data Quality measures need to be included into the Product Specification</w:t>
      </w:r>
      <w:r w:rsidR="00E54451" w:rsidRPr="00F543C9">
        <w:rPr>
          <w:rFonts w:ascii="Arial Narrow" w:hAnsi="Arial Narrow"/>
          <w:sz w:val="22"/>
          <w:szCs w:val="22"/>
          <w:lang w:val="en-AU"/>
        </w:rPr>
        <w:t>.</w:t>
      </w:r>
    </w:p>
    <w:p w:rsidR="00E54451" w:rsidRPr="00F543C9" w:rsidRDefault="00E54451" w:rsidP="00E54451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E54451" w:rsidRPr="00F543C9" w:rsidRDefault="00182EC3" w:rsidP="00E54451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DQWG to verify any S-1xx version 1.0.0 (and later versions) of a published Product Specification if the appropriate recommendations from S-97 have been taken into account and report to the responsible Working Group as deemed necessary</w:t>
      </w:r>
      <w:r w:rsidR="00E54451" w:rsidRPr="00F543C9">
        <w:rPr>
          <w:rFonts w:ascii="Arial Narrow" w:hAnsi="Arial Narrow"/>
          <w:sz w:val="22"/>
          <w:szCs w:val="22"/>
          <w:lang w:val="en-AU"/>
        </w:rPr>
        <w:t>.</w:t>
      </w:r>
    </w:p>
    <w:p w:rsidR="00E54451" w:rsidRPr="00F543C9" w:rsidRDefault="00E54451" w:rsidP="00E54451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E54451" w:rsidRPr="00F543C9" w:rsidRDefault="00182EC3" w:rsidP="00182EC3">
      <w:pPr>
        <w:pStyle w:val="subpara"/>
        <w:ind w:left="0" w:firstLine="0"/>
        <w:rPr>
          <w:szCs w:val="22"/>
        </w:rPr>
      </w:pPr>
      <w:r>
        <w:rPr>
          <w:szCs w:val="22"/>
        </w:rPr>
        <w:t xml:space="preserve">Harmonization of Data Quality measures </w:t>
      </w:r>
      <w:r w:rsidR="002C12A8">
        <w:rPr>
          <w:szCs w:val="22"/>
        </w:rPr>
        <w:t>allows the Hydrographic Offices to perform a Data Quality Evaluation and provide a Data Quality Result as Metadata to the end user.</w:t>
      </w:r>
      <w:r w:rsidR="002C12A8" w:rsidRPr="002C12A8">
        <w:t xml:space="preserve"> </w:t>
      </w:r>
      <w:r w:rsidR="002C12A8" w:rsidRPr="002C12A8">
        <w:rPr>
          <w:szCs w:val="22"/>
        </w:rPr>
        <w:t xml:space="preserve">A core aim of this </w:t>
      </w:r>
      <w:r w:rsidR="002C12A8">
        <w:rPr>
          <w:szCs w:val="22"/>
        </w:rPr>
        <w:t>verification</w:t>
      </w:r>
      <w:r w:rsidR="002C12A8" w:rsidRPr="002C12A8">
        <w:rPr>
          <w:szCs w:val="22"/>
        </w:rPr>
        <w:t xml:space="preserve"> is to assist in creating harmonized product specifications that can be used in the e-Navigation eco-system. The</w:t>
      </w:r>
      <w:r w:rsidR="00C715CE">
        <w:rPr>
          <w:szCs w:val="22"/>
        </w:rPr>
        <w:t xml:space="preserve"> term e-Navigation eco-system is</w:t>
      </w:r>
      <w:r w:rsidR="002C12A8" w:rsidRPr="002C12A8">
        <w:rPr>
          <w:szCs w:val="22"/>
        </w:rPr>
        <w:t xml:space="preserve"> meant to encompass all product specifications created for use in IMO defined e-Navigation systems, both on shore and at sea, such as ECDIS.</w:t>
      </w:r>
    </w:p>
    <w:p w:rsidR="00E54451" w:rsidRPr="00F543C9" w:rsidRDefault="00F55801" w:rsidP="00E54451">
      <w:pPr>
        <w:pStyle w:val="Heading2"/>
        <w:rPr>
          <w:szCs w:val="22"/>
        </w:rPr>
      </w:pPr>
      <w:r>
        <w:rPr>
          <w:szCs w:val="22"/>
        </w:rPr>
        <w:t>Action Required of Data Quality Working Group</w:t>
      </w:r>
    </w:p>
    <w:p w:rsidR="00E54451" w:rsidRPr="00F543C9" w:rsidRDefault="00F55801" w:rsidP="00E54451">
      <w:pPr>
        <w:rPr>
          <w:rFonts w:ascii="Arial Narrow" w:hAnsi="Arial Narrow"/>
          <w:sz w:val="22"/>
          <w:szCs w:val="22"/>
          <w:lang w:val="en-AU"/>
        </w:rPr>
      </w:pPr>
      <w:r>
        <w:rPr>
          <w:rFonts w:ascii="Arial Narrow" w:hAnsi="Arial Narrow"/>
          <w:sz w:val="22"/>
          <w:szCs w:val="22"/>
          <w:lang w:val="en-AU"/>
        </w:rPr>
        <w:t>The DQWG</w:t>
      </w:r>
      <w:r w:rsidR="00E54451"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E54451" w:rsidRPr="00F543C9" w:rsidRDefault="00E54451" w:rsidP="00E54451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</w:r>
      <w:r w:rsidR="002C12A8">
        <w:rPr>
          <w:szCs w:val="22"/>
        </w:rPr>
        <w:t>note this report;</w:t>
      </w:r>
    </w:p>
    <w:p w:rsidR="00E54451" w:rsidRPr="00F543C9" w:rsidRDefault="00E54451" w:rsidP="00E54451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</w:r>
      <w:r w:rsidR="00326324">
        <w:rPr>
          <w:szCs w:val="22"/>
        </w:rPr>
        <w:t>periodically review S-1xx</w:t>
      </w:r>
      <w:r w:rsidR="002C12A8" w:rsidRPr="002C12A8">
        <w:rPr>
          <w:szCs w:val="22"/>
        </w:rPr>
        <w:t xml:space="preserve"> based product specifications to ensure the data quality aspects have been taken into consideration</w:t>
      </w:r>
      <w:r w:rsidR="002C12A8">
        <w:rPr>
          <w:szCs w:val="22"/>
        </w:rPr>
        <w:t>;</w:t>
      </w:r>
      <w:r w:rsidR="002C12A8" w:rsidRPr="002C12A8">
        <w:rPr>
          <w:szCs w:val="22"/>
        </w:rPr>
        <w:t xml:space="preserve"> </w:t>
      </w:r>
    </w:p>
    <w:p w:rsidR="00E54451" w:rsidRPr="00F543C9" w:rsidRDefault="002C12A8" w:rsidP="00E54451">
      <w:pPr>
        <w:pStyle w:val="subpara"/>
        <w:rPr>
          <w:szCs w:val="22"/>
        </w:rPr>
      </w:pPr>
      <w:proofErr w:type="gramStart"/>
      <w:r>
        <w:rPr>
          <w:szCs w:val="22"/>
        </w:rPr>
        <w:t>c</w:t>
      </w:r>
      <w:proofErr w:type="gramEnd"/>
      <w:r>
        <w:rPr>
          <w:szCs w:val="22"/>
        </w:rPr>
        <w:t>.</w:t>
      </w:r>
      <w:r>
        <w:rPr>
          <w:szCs w:val="22"/>
        </w:rPr>
        <w:tab/>
      </w:r>
      <w:r w:rsidRPr="002C12A8">
        <w:rPr>
          <w:szCs w:val="22"/>
        </w:rPr>
        <w:t>provide input papers for WGs and PTs consideration if deemed necessary</w:t>
      </w:r>
      <w:r>
        <w:rPr>
          <w:szCs w:val="22"/>
        </w:rPr>
        <w:t>.</w:t>
      </w:r>
    </w:p>
    <w:p w:rsidR="0007579F" w:rsidRPr="00E54451" w:rsidRDefault="0007579F">
      <w:pPr>
        <w:rPr>
          <w:lang w:val="en-AU"/>
        </w:rPr>
      </w:pPr>
    </w:p>
    <w:sectPr w:rsidR="0007579F" w:rsidRPr="00E544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03049"/>
    <w:multiLevelType w:val="hybridMultilevel"/>
    <w:tmpl w:val="50AA05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4E343E"/>
    <w:multiLevelType w:val="hybridMultilevel"/>
    <w:tmpl w:val="C34CD1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53704"/>
    <w:multiLevelType w:val="hybridMultilevel"/>
    <w:tmpl w:val="DECCCF6E"/>
    <w:lvl w:ilvl="0" w:tplc="5D1EDCE6">
      <w:start w:val="7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51"/>
    <w:rsid w:val="00012BBB"/>
    <w:rsid w:val="0007579F"/>
    <w:rsid w:val="00182EC3"/>
    <w:rsid w:val="002C12A8"/>
    <w:rsid w:val="00326324"/>
    <w:rsid w:val="006B6CA8"/>
    <w:rsid w:val="00A616C8"/>
    <w:rsid w:val="00A87186"/>
    <w:rsid w:val="00B11BA9"/>
    <w:rsid w:val="00C715CE"/>
    <w:rsid w:val="00D04CE2"/>
    <w:rsid w:val="00E54451"/>
    <w:rsid w:val="00F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0F3E7-484A-46C1-BDDA-E756155D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54451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54451"/>
    <w:rPr>
      <w:rFonts w:ascii="Arial Narrow" w:eastAsia="Times New Roman" w:hAnsi="Arial Narrow" w:cs="Times New Roman"/>
      <w:b/>
      <w:szCs w:val="20"/>
      <w:lang w:val="en-AU"/>
    </w:rPr>
  </w:style>
  <w:style w:type="paragraph" w:customStyle="1" w:styleId="subpara">
    <w:name w:val="sub para"/>
    <w:basedOn w:val="Normal"/>
    <w:rsid w:val="00E54451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Ministerie van Defensie</Company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Broekman, R, CZSK/OPS/HYD/KCG&amp;G</dc:creator>
  <cp:lastModifiedBy>Project Officer Peru</cp:lastModifiedBy>
  <cp:revision>2</cp:revision>
  <dcterms:created xsi:type="dcterms:W3CDTF">2019-08-09T06:15:00Z</dcterms:created>
  <dcterms:modified xsi:type="dcterms:W3CDTF">2019-08-09T06:15:00Z</dcterms:modified>
</cp:coreProperties>
</file>