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BDD" w:rsidRDefault="00665BDD" w:rsidP="00665BDD">
      <w:pPr>
        <w:spacing w:after="231" w:line="259" w:lineRule="auto"/>
        <w:jc w:val="right"/>
        <w:rPr>
          <w:b/>
          <w:bdr w:val="single" w:sz="10" w:space="0" w:color="00000A"/>
        </w:rPr>
      </w:pPr>
      <w:r>
        <w:rPr>
          <w:b/>
          <w:bdr w:val="single" w:sz="10" w:space="0" w:color="00000A"/>
        </w:rPr>
        <w:t>TSM7-5.</w:t>
      </w:r>
      <w:r w:rsidR="003F5441">
        <w:rPr>
          <w:b/>
          <w:bdr w:val="single" w:sz="10" w:space="0" w:color="00000A"/>
        </w:rPr>
        <w:t>3</w:t>
      </w:r>
      <w:r w:rsidR="0021668D">
        <w:rPr>
          <w:b/>
          <w:bdr w:val="single" w:sz="10" w:space="0" w:color="00000A"/>
        </w:rPr>
        <w:t>f</w:t>
      </w:r>
    </w:p>
    <w:p w:rsidR="008B6083" w:rsidRPr="00665BDD" w:rsidRDefault="00B13D20" w:rsidP="00665BDD">
      <w:pPr>
        <w:spacing w:after="231" w:line="259" w:lineRule="auto"/>
        <w:jc w:val="left"/>
        <w:rPr>
          <w:b/>
          <w:sz w:val="24"/>
          <w:lang w:val="en-US"/>
        </w:rPr>
      </w:pPr>
      <w:r w:rsidRPr="00665BDD">
        <w:rPr>
          <w:b/>
          <w:sz w:val="24"/>
          <w:lang w:val="en-US"/>
        </w:rPr>
        <w:t xml:space="preserve">Title: </w:t>
      </w:r>
      <w:r w:rsidR="00D12CD1">
        <w:rPr>
          <w:b/>
          <w:sz w:val="24"/>
          <w:lang w:val="en-US"/>
        </w:rPr>
        <w:t>Update 9-7.2 InterpolationType</w:t>
      </w:r>
    </w:p>
    <w:p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:rsidR="008B6083" w:rsidRPr="001616EB" w:rsidRDefault="00B13D20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NIWC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19-08-2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:rsidR="008B6083" w:rsidRPr="001616EB" w:rsidRDefault="00F01171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8/20/2019</w:t>
                </w:r>
              </w:p>
            </w:tc>
          </w:sdtContent>
        </w:sdt>
      </w:tr>
      <w:tr w:rsidR="008B6083" w:rsidRPr="001616EB" w:rsidTr="001616EB">
        <w:tc>
          <w:tcPr>
            <w:tcW w:w="2574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:rsidR="00B13D20" w:rsidRPr="001616EB" w:rsidRDefault="00DB084B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 Grant</w:t>
            </w:r>
          </w:p>
        </w:tc>
        <w:tc>
          <w:tcPr>
            <w:tcW w:w="973" w:type="dxa"/>
          </w:tcPr>
          <w:p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:rsidR="008B6083" w:rsidRPr="001616EB" w:rsidRDefault="00DB084B" w:rsidP="00B13D20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David.Grant1@navy.mil</w:t>
            </w: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:rsidR="00040856" w:rsidRDefault="00040856" w:rsidP="008B6083">
      <w:pPr>
        <w:rPr>
          <w:rFonts w:cs="Arial"/>
          <w:i/>
          <w:lang w:val="en-US"/>
        </w:rPr>
      </w:pP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3013"/>
      </w:tblGrid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:rsidTr="006060F5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221F" w:rsidRPr="00CA221F" w:rsidRDefault="00BC1E32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</w:tr>
    </w:tbl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2027F8" w:rsidP="008B6083">
      <w:pPr>
        <w:rPr>
          <w:rFonts w:cs="Arial"/>
          <w:i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114300" simplePos="0" relativeHeight="251657728" behindDoc="0" locked="0" layoutInCell="1" allowOverlap="1">
                <wp:simplePos x="0" y="0"/>
                <wp:positionH relativeFrom="margin">
                  <wp:posOffset>-64770</wp:posOffset>
                </wp:positionH>
                <wp:positionV relativeFrom="paragraph">
                  <wp:posOffset>276860</wp:posOffset>
                </wp:positionV>
                <wp:extent cx="5681345" cy="809625"/>
                <wp:effectExtent l="0" t="0" r="0" b="0"/>
                <wp:wrapSquare wrapText="largest"/>
                <wp:docPr id="1" name="Text Box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809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267"/>
                              <w:gridCol w:w="1620"/>
                              <w:gridCol w:w="1620"/>
                              <w:gridCol w:w="3441"/>
                            </w:tblGrid>
                            <w:tr w:rsidR="008B6083" w:rsidRPr="001616EB" w:rsidTr="001616EB">
                              <w:trPr>
                                <w:trHeight w:val="466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S-100 Version No.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 xml:space="preserve">Part No.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Section No.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8B6083" w:rsidRPr="001616EB" w:rsidRDefault="008B6083">
                                  <w:pPr>
                                    <w:pStyle w:val="Tabletext"/>
                                    <w:snapToGrid w:val="0"/>
                                  </w:pPr>
                                  <w:r w:rsidRPr="001616EB">
                                    <w:t>Proposal Summary</w:t>
                                  </w:r>
                                </w:p>
                              </w:tc>
                            </w:tr>
                            <w:tr w:rsidR="008B6083" w:rsidRPr="001616EB" w:rsidTr="001616EB">
                              <w:trPr>
                                <w:trHeight w:val="770"/>
                              </w:trPr>
                              <w:tc>
                                <w:tcPr>
                                  <w:tcW w:w="2267" w:type="dxa"/>
                                </w:tcPr>
                                <w:p w:rsidR="008B6083" w:rsidRPr="001616EB" w:rsidRDefault="00363286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Version 4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3D27A4" w:rsidRPr="001616EB" w:rsidRDefault="003D27A4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</w:tcPr>
                                <w:p w:rsidR="00F01171" w:rsidRPr="001616EB" w:rsidRDefault="00D12CD1" w:rsidP="00BC1E3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7.2</w:t>
                                  </w:r>
                                </w:p>
                              </w:tc>
                              <w:tc>
                                <w:tcPr>
                                  <w:tcW w:w="3441" w:type="dxa"/>
                                </w:tcPr>
                                <w:p w:rsidR="00F01171" w:rsidRPr="001616EB" w:rsidRDefault="00D12CD1" w:rsidP="00A276A2">
                                  <w:pPr>
                                    <w:pStyle w:val="Tabletext"/>
                                    <w:snapToGrid w:val="0"/>
                                  </w:pPr>
                                  <w:r>
                                    <w:t>Update InterpolationType to match changes to Part 7</w:t>
                                  </w:r>
                                </w:p>
                              </w:tc>
                            </w:tr>
                          </w:tbl>
                          <w:p w:rsidR="00C67DCB" w:rsidRDefault="00C67DC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5" o:spid="_x0000_s1026" type="#_x0000_t202" style="position:absolute;left:0;text-align:left;margin-left:-5.1pt;margin-top:21.8pt;width:447.35pt;height:63.75pt;z-index:251657728;visibility:visible;mso-wrap-style:square;mso-width-percent:0;mso-height-percent:0;mso-wrap-distance-left:0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267"/>
                        <w:gridCol w:w="1620"/>
                        <w:gridCol w:w="1620"/>
                        <w:gridCol w:w="3441"/>
                      </w:tblGrid>
                      <w:tr w:rsidR="008B6083" w:rsidRPr="001616EB" w:rsidTr="001616EB">
                        <w:trPr>
                          <w:trHeight w:val="466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S-100 Version No.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 xml:space="preserve">Part No. 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Section No.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8B6083" w:rsidRPr="001616EB" w:rsidRDefault="008B6083">
                            <w:pPr>
                              <w:pStyle w:val="Tabletext"/>
                              <w:snapToGrid w:val="0"/>
                            </w:pPr>
                            <w:r w:rsidRPr="001616EB">
                              <w:t>Proposal Summary</w:t>
                            </w:r>
                          </w:p>
                        </w:tc>
                      </w:tr>
                      <w:tr w:rsidR="008B6083" w:rsidRPr="001616EB" w:rsidTr="001616EB">
                        <w:trPr>
                          <w:trHeight w:val="770"/>
                        </w:trPr>
                        <w:tc>
                          <w:tcPr>
                            <w:tcW w:w="2267" w:type="dxa"/>
                          </w:tcPr>
                          <w:p w:rsidR="008B6083" w:rsidRPr="001616EB" w:rsidRDefault="00363286">
                            <w:pPr>
                              <w:pStyle w:val="Tabletext"/>
                              <w:snapToGrid w:val="0"/>
                            </w:pPr>
                            <w:r>
                              <w:t>Version 4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3D27A4" w:rsidRPr="001616EB" w:rsidRDefault="003D27A4">
                            <w:pPr>
                              <w:pStyle w:val="Tabletext"/>
                              <w:snapToGrid w:val="0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1620" w:type="dxa"/>
                          </w:tcPr>
                          <w:p w:rsidR="00F01171" w:rsidRPr="001616EB" w:rsidRDefault="00D12CD1" w:rsidP="00BC1E32">
                            <w:pPr>
                              <w:pStyle w:val="Tabletext"/>
                              <w:snapToGrid w:val="0"/>
                            </w:pPr>
                            <w:r>
                              <w:t>7.2</w:t>
                            </w:r>
                          </w:p>
                        </w:tc>
                        <w:tc>
                          <w:tcPr>
                            <w:tcW w:w="3441" w:type="dxa"/>
                          </w:tcPr>
                          <w:p w:rsidR="00F01171" w:rsidRPr="001616EB" w:rsidRDefault="00D12CD1" w:rsidP="00A276A2">
                            <w:pPr>
                              <w:pStyle w:val="Tabletext"/>
                              <w:snapToGrid w:val="0"/>
                            </w:pPr>
                            <w:r>
                              <w:t>Update InterpolationType to match changes to Part 7</w:t>
                            </w:r>
                          </w:p>
                        </w:tc>
                      </w:tr>
                    </w:tbl>
                    <w:p w:rsidR="00C67DCB" w:rsidRDefault="00C67DCB"/>
                  </w:txbxContent>
                </v:textbox>
                <w10:wrap type="square" side="largest" anchorx="margin"/>
              </v:shape>
            </w:pict>
          </mc:Fallback>
        </mc:AlternateContent>
      </w:r>
      <w:r w:rsidR="008B6083"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="008B6083"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p w:rsidR="00BC1E32" w:rsidRDefault="00BC1E32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:rsidR="00A3283B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Add support for polynomialSpline, bezierSpline, bSpline, blendedParabolic (see 7-4.2.1.1)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&lt;xs:simpleType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name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"InterpolationType"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&lt;xs:restriction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base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"xs:string"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&lt;xs:enumeration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value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"None"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&lt;xs:enumeration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value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"Linear"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&lt;xs:enumeration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value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"Loxodromic"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&lt;xs:enumeration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value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"CircularArc3Points"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&lt;xs:enumeration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value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"Geodesic"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&lt;xs:enumeration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value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"CircularArcCenterPointWithRadius"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&lt;xs:enumeration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value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"Elliptical"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 xml:space="preserve">&lt;xs:enumeration </w:t>
      </w:r>
      <w:r>
        <w:rPr>
          <w:rFonts w:ascii="TimesNewRomanPSMT" w:eastAsia="Times New Roman" w:hAnsi="TimesNewRomanPSMT" w:cs="TimesNewRomanPSMT"/>
          <w:color w:val="F6864C"/>
          <w:lang w:val="en-US" w:eastAsia="en-US"/>
        </w:rPr>
        <w:t>value</w:t>
      </w:r>
      <w:r>
        <w:rPr>
          <w:rFonts w:ascii="TimesNewRomanPSMT" w:eastAsia="Times New Roman" w:hAnsi="TimesNewRomanPSMT" w:cs="TimesNewRomanPSMT"/>
          <w:color w:val="FF8140"/>
          <w:lang w:val="en-US" w:eastAsia="en-US"/>
        </w:rPr>
        <w:t>=</w:t>
      </w:r>
      <w:r>
        <w:rPr>
          <w:rFonts w:ascii="TimesNewRomanPSMT" w:eastAsia="Times New Roman" w:hAnsi="TimesNewRomanPSMT" w:cs="TimesNewRomanPSMT"/>
          <w:color w:val="9B3300"/>
          <w:lang w:val="en-US" w:eastAsia="en-US"/>
        </w:rPr>
        <w:t>"Conic"</w:t>
      </w: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/&gt;</w:t>
      </w:r>
    </w:p>
    <w:p w:rsidR="00D12CD1" w:rsidRPr="00DA5B43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</w:pPr>
      <w:r w:rsidRPr="00DA5B43"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  <w:t xml:space="preserve">&lt;xs:enumeration </w:t>
      </w:r>
      <w:r w:rsidRPr="00DA5B43">
        <w:rPr>
          <w:rFonts w:ascii="TimesNewRomanPSMT" w:eastAsia="Times New Roman" w:hAnsi="TimesNewRomanPSMT" w:cs="TimesNewRomanPSMT"/>
          <w:color w:val="F79646" w:themeColor="accent6"/>
          <w:highlight w:val="yellow"/>
          <w:lang w:val="en-US" w:eastAsia="en-US"/>
        </w:rPr>
        <w:t>value=</w:t>
      </w:r>
      <w:r w:rsidRPr="00DA5B43">
        <w:rPr>
          <w:rFonts w:ascii="TimesNewRomanPSMT" w:eastAsia="Times New Roman" w:hAnsi="TimesNewRomanPSMT" w:cs="TimesNewRomanPSMT"/>
          <w:color w:val="984806" w:themeColor="accent6" w:themeShade="80"/>
          <w:highlight w:val="yellow"/>
          <w:lang w:val="en-US" w:eastAsia="en-US"/>
        </w:rPr>
        <w:t>”PolynomialSpline”</w:t>
      </w:r>
      <w:r w:rsidRPr="00DA5B43"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  <w:t>/&gt;</w:t>
      </w:r>
    </w:p>
    <w:p w:rsidR="00D12CD1" w:rsidRPr="00DA5B43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</w:pPr>
      <w:r w:rsidRPr="00DA5B43"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  <w:t xml:space="preserve">&lt;xs:enumeration </w:t>
      </w:r>
      <w:r w:rsidRPr="00DA5B43">
        <w:rPr>
          <w:rFonts w:ascii="TimesNewRomanPSMT" w:eastAsia="Times New Roman" w:hAnsi="TimesNewRomanPSMT" w:cs="TimesNewRomanPSMT"/>
          <w:color w:val="F79646" w:themeColor="accent6"/>
          <w:highlight w:val="yellow"/>
          <w:lang w:val="en-US" w:eastAsia="en-US"/>
        </w:rPr>
        <w:t>value=</w:t>
      </w:r>
      <w:r w:rsidRPr="00DA5B43">
        <w:rPr>
          <w:rFonts w:ascii="TimesNewRomanPSMT" w:eastAsia="Times New Roman" w:hAnsi="TimesNewRomanPSMT" w:cs="TimesNewRomanPSMT"/>
          <w:color w:val="984806" w:themeColor="accent6" w:themeShade="80"/>
          <w:highlight w:val="yellow"/>
          <w:lang w:val="en-US" w:eastAsia="en-US"/>
        </w:rPr>
        <w:t>”BezierSpline”</w:t>
      </w:r>
      <w:r w:rsidRPr="00DA5B43"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  <w:t>/&gt;</w:t>
      </w:r>
    </w:p>
    <w:p w:rsidR="00D12CD1" w:rsidRPr="00DA5B43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</w:pPr>
      <w:r w:rsidRPr="00DA5B43"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  <w:t xml:space="preserve">&lt;xs:enumeration </w:t>
      </w:r>
      <w:r w:rsidRPr="00DA5B43">
        <w:rPr>
          <w:rFonts w:ascii="TimesNewRomanPSMT" w:eastAsia="Times New Roman" w:hAnsi="TimesNewRomanPSMT" w:cs="TimesNewRomanPSMT"/>
          <w:color w:val="F79646" w:themeColor="accent6"/>
          <w:highlight w:val="yellow"/>
          <w:lang w:val="en-US" w:eastAsia="en-US"/>
        </w:rPr>
        <w:t>value=</w:t>
      </w:r>
      <w:r w:rsidRPr="00DA5B43">
        <w:rPr>
          <w:rFonts w:ascii="TimesNewRomanPSMT" w:eastAsia="Times New Roman" w:hAnsi="TimesNewRomanPSMT" w:cs="TimesNewRomanPSMT"/>
          <w:color w:val="984806" w:themeColor="accent6" w:themeShade="80"/>
          <w:highlight w:val="yellow"/>
          <w:lang w:val="en-US" w:eastAsia="en-US"/>
        </w:rPr>
        <w:t>”BSpline”</w:t>
      </w:r>
      <w:r w:rsidRPr="00DA5B43"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 w:rsidRPr="00DA5B43"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  <w:t xml:space="preserve">&lt;xs:enumeration </w:t>
      </w:r>
      <w:r w:rsidRPr="00DA5B43">
        <w:rPr>
          <w:rFonts w:ascii="TimesNewRomanPSMT" w:eastAsia="Times New Roman" w:hAnsi="TimesNewRomanPSMT" w:cs="TimesNewRomanPSMT"/>
          <w:color w:val="F79646" w:themeColor="accent6"/>
          <w:highlight w:val="yellow"/>
          <w:lang w:val="en-US" w:eastAsia="en-US"/>
        </w:rPr>
        <w:t>value=</w:t>
      </w:r>
      <w:r w:rsidRPr="00DA5B43">
        <w:rPr>
          <w:rFonts w:ascii="TimesNewRomanPSMT" w:eastAsia="Times New Roman" w:hAnsi="TimesNewRomanPSMT" w:cs="TimesNewRomanPSMT"/>
          <w:color w:val="984806" w:themeColor="accent6" w:themeShade="80"/>
          <w:highlight w:val="yellow"/>
          <w:lang w:val="en-US" w:eastAsia="en-US"/>
        </w:rPr>
        <w:t>”BlendedParabolic”</w:t>
      </w:r>
      <w:r w:rsidRPr="00DA5B43">
        <w:rPr>
          <w:rFonts w:ascii="TimesNewRomanPSMT" w:eastAsia="Times New Roman" w:hAnsi="TimesNewRomanPSMT" w:cs="TimesNewRomanPSMT"/>
          <w:color w:val="000097"/>
          <w:highlight w:val="yellow"/>
          <w:lang w:val="en-US" w:eastAsia="en-US"/>
        </w:rPr>
        <w:t>/&gt;</w:t>
      </w:r>
    </w:p>
    <w:p w:rsidR="00D12CD1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 w:val="0"/>
        <w:autoSpaceDE w:val="0"/>
        <w:autoSpaceDN w:val="0"/>
        <w:adjustRightInd w:val="0"/>
        <w:jc w:val="left"/>
        <w:rPr>
          <w:rFonts w:ascii="TimesNewRomanPSMT" w:eastAsia="Times New Roman" w:hAnsi="TimesNewRomanPSMT" w:cs="TimesNewRomanPSMT"/>
          <w:color w:val="000097"/>
          <w:lang w:val="en-US" w:eastAsia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&lt;/xs:restriction&gt;</w:t>
      </w:r>
    </w:p>
    <w:p w:rsidR="00D12CD1" w:rsidRPr="00BC1E32" w:rsidRDefault="00D12CD1" w:rsidP="00D12CD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cs="Arial"/>
          <w:color w:val="000000"/>
          <w:sz w:val="24"/>
          <w:szCs w:val="24"/>
          <w:lang w:val="en-US"/>
        </w:rPr>
      </w:pPr>
      <w:r>
        <w:rPr>
          <w:rFonts w:ascii="TimesNewRomanPSMT" w:eastAsia="Times New Roman" w:hAnsi="TimesNewRomanPSMT" w:cs="TimesNewRomanPSMT"/>
          <w:color w:val="000097"/>
          <w:lang w:val="en-US" w:eastAsia="en-US"/>
        </w:rPr>
        <w:t>&lt;/xs:simpleType&gt;</w:t>
      </w: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:rsidR="00BC1E32" w:rsidRPr="00F01171" w:rsidRDefault="00D12CD1" w:rsidP="00F0117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left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Interpolations have been added to Part 7 which must be reflected in Part 9</w:t>
      </w:r>
    </w:p>
    <w:p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9C3C5E" w:rsidRDefault="0075391A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:rsidR="009C3C5E" w:rsidRDefault="0075391A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:rsidR="009C3C5E" w:rsidRDefault="0075391A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:rsidR="009C3C5E" w:rsidRDefault="0075391A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469B8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  <w:bookmarkStart w:id="0" w:name="_GoBack"/>
      <w:bookmarkEnd w:id="0"/>
    </w:p>
    <w:p w:rsidR="009C3C5E" w:rsidRPr="009C3C5E" w:rsidRDefault="0075391A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10AD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:rsidR="00C10ADE" w:rsidRPr="009C3C5E" w:rsidRDefault="00C10ADE" w:rsidP="00C10ADE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7092949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☒</w:t>
          </w:r>
        </w:sdtContent>
      </w:sdt>
      <w:r>
        <w:rPr>
          <w:rFonts w:cs="Arial"/>
          <w:sz w:val="22"/>
          <w:szCs w:val="28"/>
          <w:lang w:val="en-US"/>
        </w:rPr>
        <w:tab/>
        <w:t>S-100 GitHub Schemas</w:t>
      </w:r>
    </w:p>
    <w:p w:rsidR="009C3C5E" w:rsidRDefault="009C3C5E" w:rsidP="008B6083">
      <w:pPr>
        <w:rPr>
          <w:rFonts w:cs="Arial"/>
          <w:sz w:val="28"/>
          <w:szCs w:val="28"/>
          <w:lang w:val="en-US"/>
        </w:rPr>
      </w:pPr>
    </w:p>
    <w:p w:rsidR="006A7A60" w:rsidRPr="00CA221F" w:rsidRDefault="008B6083" w:rsidP="002C6462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6A7A60" w:rsidRPr="00CA221F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91A" w:rsidRDefault="0075391A">
      <w:r>
        <w:separator/>
      </w:r>
    </w:p>
  </w:endnote>
  <w:endnote w:type="continuationSeparator" w:id="0">
    <w:p w:rsidR="0075391A" w:rsidRDefault="0075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F8" w:rsidRPr="00156FF1" w:rsidRDefault="007E7095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:rsidR="001902F8" w:rsidRDefault="001902F8">
    <w:pPr>
      <w:pStyle w:val="Footer"/>
      <w:jc w:val="center"/>
      <w:rPr>
        <w:sz w:val="16"/>
      </w:rPr>
    </w:pPr>
  </w:p>
  <w:p w:rsidR="001902F8" w:rsidRPr="001902F8" w:rsidRDefault="001902F8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C10ADE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91A" w:rsidRDefault="0075391A">
      <w:r>
        <w:separator/>
      </w:r>
    </w:p>
  </w:footnote>
  <w:footnote w:type="continuationSeparator" w:id="0">
    <w:p w:rsidR="0075391A" w:rsidRDefault="00753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095" w:rsidRDefault="007E7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 w15:restartNumberingAfterBreak="0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 w15:restartNumberingAfterBreak="0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0A40596E"/>
    <w:multiLevelType w:val="multilevel"/>
    <w:tmpl w:val="F9CCA5E0"/>
    <w:lvl w:ilvl="0">
      <w:start w:val="1"/>
      <w:numFmt w:val="decimal"/>
      <w:lvlText w:val="9-13.7.4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9" w15:restartNumberingAfterBreak="0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4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10"/>
  </w:num>
  <w:num w:numId="10">
    <w:abstractNumId w:val="7"/>
    <w:lvlOverride w:ilvl="0">
      <w:lvl w:ilvl="0">
        <w:start w:val="1"/>
        <w:numFmt w:val="decimal"/>
        <w:lvlText w:val="9-12.7.4.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EC2"/>
    <w:rsid w:val="00000398"/>
    <w:rsid w:val="00006AC5"/>
    <w:rsid w:val="00040856"/>
    <w:rsid w:val="000550F8"/>
    <w:rsid w:val="00064D5D"/>
    <w:rsid w:val="000B7C27"/>
    <w:rsid w:val="000B7EC2"/>
    <w:rsid w:val="00124A16"/>
    <w:rsid w:val="0013722A"/>
    <w:rsid w:val="00145625"/>
    <w:rsid w:val="00156FF1"/>
    <w:rsid w:val="001616EB"/>
    <w:rsid w:val="001902F8"/>
    <w:rsid w:val="0020239F"/>
    <w:rsid w:val="002027F8"/>
    <w:rsid w:val="0021668D"/>
    <w:rsid w:val="00231D3A"/>
    <w:rsid w:val="0027551D"/>
    <w:rsid w:val="002C6462"/>
    <w:rsid w:val="002D315F"/>
    <w:rsid w:val="002E2D97"/>
    <w:rsid w:val="00320F89"/>
    <w:rsid w:val="00337937"/>
    <w:rsid w:val="00363286"/>
    <w:rsid w:val="003D27A4"/>
    <w:rsid w:val="003E386E"/>
    <w:rsid w:val="003F5441"/>
    <w:rsid w:val="0046517B"/>
    <w:rsid w:val="00496818"/>
    <w:rsid w:val="004B42A1"/>
    <w:rsid w:val="00503610"/>
    <w:rsid w:val="005468A5"/>
    <w:rsid w:val="00581DAB"/>
    <w:rsid w:val="005B42CD"/>
    <w:rsid w:val="006065FE"/>
    <w:rsid w:val="006330B6"/>
    <w:rsid w:val="00641CDB"/>
    <w:rsid w:val="00665BDD"/>
    <w:rsid w:val="0068258B"/>
    <w:rsid w:val="00686C2E"/>
    <w:rsid w:val="006A7A60"/>
    <w:rsid w:val="006C64B5"/>
    <w:rsid w:val="006D231B"/>
    <w:rsid w:val="007002EA"/>
    <w:rsid w:val="00714973"/>
    <w:rsid w:val="00716A0F"/>
    <w:rsid w:val="00723C18"/>
    <w:rsid w:val="00734225"/>
    <w:rsid w:val="0075391A"/>
    <w:rsid w:val="0077211E"/>
    <w:rsid w:val="007B44D7"/>
    <w:rsid w:val="007E7095"/>
    <w:rsid w:val="007F5947"/>
    <w:rsid w:val="00804E76"/>
    <w:rsid w:val="00843966"/>
    <w:rsid w:val="008505A7"/>
    <w:rsid w:val="00873526"/>
    <w:rsid w:val="00874EC2"/>
    <w:rsid w:val="008A46BB"/>
    <w:rsid w:val="008B6083"/>
    <w:rsid w:val="008F1292"/>
    <w:rsid w:val="00942EC0"/>
    <w:rsid w:val="009C3C5E"/>
    <w:rsid w:val="009E4479"/>
    <w:rsid w:val="00A148AE"/>
    <w:rsid w:val="00A276A2"/>
    <w:rsid w:val="00A3283B"/>
    <w:rsid w:val="00A36C79"/>
    <w:rsid w:val="00A51345"/>
    <w:rsid w:val="00A572E0"/>
    <w:rsid w:val="00A71CFD"/>
    <w:rsid w:val="00A73208"/>
    <w:rsid w:val="00A762EC"/>
    <w:rsid w:val="00A82E52"/>
    <w:rsid w:val="00AF2503"/>
    <w:rsid w:val="00B13D20"/>
    <w:rsid w:val="00B3168B"/>
    <w:rsid w:val="00BC1E32"/>
    <w:rsid w:val="00C0478D"/>
    <w:rsid w:val="00C1093C"/>
    <w:rsid w:val="00C10ADE"/>
    <w:rsid w:val="00C22B78"/>
    <w:rsid w:val="00C40408"/>
    <w:rsid w:val="00C67DCB"/>
    <w:rsid w:val="00C67E54"/>
    <w:rsid w:val="00C863A6"/>
    <w:rsid w:val="00CA221F"/>
    <w:rsid w:val="00CD77EF"/>
    <w:rsid w:val="00D04877"/>
    <w:rsid w:val="00D12CD1"/>
    <w:rsid w:val="00D365B9"/>
    <w:rsid w:val="00D647B1"/>
    <w:rsid w:val="00DA3A0D"/>
    <w:rsid w:val="00DA5B43"/>
    <w:rsid w:val="00DB084B"/>
    <w:rsid w:val="00E2062D"/>
    <w:rsid w:val="00E64723"/>
    <w:rsid w:val="00E72C8C"/>
    <w:rsid w:val="00EB45A2"/>
    <w:rsid w:val="00F01171"/>
    <w:rsid w:val="00F32E55"/>
    <w:rsid w:val="00F33722"/>
    <w:rsid w:val="00F469B8"/>
    <w:rsid w:val="00F56048"/>
    <w:rsid w:val="00F64947"/>
    <w:rsid w:val="00FB38D8"/>
    <w:rsid w:val="00FD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A92425"/>
  <w15:docId w15:val="{F37DADF7-4CAC-41FB-9668-5BD18269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C2E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7A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7A4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7A4"/>
    <w:rPr>
      <w:rFonts w:ascii="Arial" w:eastAsia="MS Mincho" w:hAnsi="Arial"/>
      <w:b/>
      <w:bCs/>
      <w:lang w:val="de-DE" w:eastAsia="ar-SA"/>
    </w:rPr>
  </w:style>
  <w:style w:type="paragraph" w:styleId="Revision">
    <w:name w:val="Revision"/>
    <w:hidden/>
    <w:uiPriority w:val="99"/>
    <w:semiHidden/>
    <w:rsid w:val="003D27A4"/>
    <w:rPr>
      <w:rFonts w:ascii="Arial" w:eastAsia="MS Mincho" w:hAnsi="Arial"/>
      <w:lang w:val="de-D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1F402C"/>
    <w:rsid w:val="00217FC1"/>
    <w:rsid w:val="00510D50"/>
    <w:rsid w:val="005A03EF"/>
    <w:rsid w:val="00955A74"/>
    <w:rsid w:val="00A85661"/>
    <w:rsid w:val="00BD4E08"/>
    <w:rsid w:val="00C74F13"/>
    <w:rsid w:val="00CB1D9F"/>
    <w:rsid w:val="00CB7214"/>
    <w:rsid w:val="00D0052C"/>
    <w:rsid w:val="00E173EC"/>
    <w:rsid w:val="00E17541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C70E6-43FF-4EF8-B61C-700249B49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David M. Grant</cp:lastModifiedBy>
  <cp:revision>12</cp:revision>
  <cp:lastPrinted>2009-12-14T13:49:00Z</cp:lastPrinted>
  <dcterms:created xsi:type="dcterms:W3CDTF">2019-08-16T20:15:00Z</dcterms:created>
  <dcterms:modified xsi:type="dcterms:W3CDTF">2020-01-27T15:08:00Z</dcterms:modified>
</cp:coreProperties>
</file>