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52"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7"/>
        <w:gridCol w:w="774"/>
        <w:gridCol w:w="1276"/>
        <w:gridCol w:w="1070"/>
        <w:gridCol w:w="720"/>
        <w:gridCol w:w="4440"/>
        <w:gridCol w:w="4200"/>
        <w:gridCol w:w="2605"/>
      </w:tblGrid>
      <w:tr w:rsidR="003E3CC3" w:rsidTr="00416FF1">
        <w:tblPrEx>
          <w:tblCellMar>
            <w:top w:w="0" w:type="dxa"/>
            <w:bottom w:w="0" w:type="dxa"/>
          </w:tblCellMar>
        </w:tblPrEx>
        <w:trPr>
          <w:jc w:val="center"/>
        </w:trPr>
        <w:tc>
          <w:tcPr>
            <w:tcW w:w="667" w:type="dxa"/>
            <w:tcBorders>
              <w:top w:val="single" w:sz="6" w:space="0" w:color="auto"/>
              <w:bottom w:val="single" w:sz="6" w:space="0" w:color="auto"/>
            </w:tcBorders>
          </w:tcPr>
          <w:p w:rsidR="003E3CC3" w:rsidRPr="007237C0" w:rsidRDefault="003E3CC3" w:rsidP="00CB440C">
            <w:pPr>
              <w:pStyle w:val="ISOMB"/>
              <w:spacing w:before="60" w:after="60" w:line="240" w:lineRule="auto"/>
              <w:rPr>
                <w:szCs w:val="18"/>
              </w:rPr>
            </w:pPr>
            <w:bookmarkStart w:id="0" w:name="_GoBack"/>
            <w:bookmarkEnd w:id="0"/>
          </w:p>
        </w:tc>
        <w:tc>
          <w:tcPr>
            <w:tcW w:w="774" w:type="dxa"/>
            <w:tcBorders>
              <w:top w:val="single" w:sz="6" w:space="0" w:color="auto"/>
              <w:bottom w:val="single" w:sz="6" w:space="0" w:color="auto"/>
            </w:tcBorders>
          </w:tcPr>
          <w:p w:rsidR="003E3CC3" w:rsidRPr="007237C0" w:rsidRDefault="003F6203" w:rsidP="00CB440C">
            <w:pPr>
              <w:pStyle w:val="ISOMB"/>
              <w:spacing w:before="60" w:after="60" w:line="240" w:lineRule="auto"/>
              <w:rPr>
                <w:szCs w:val="18"/>
              </w:rPr>
            </w:pPr>
            <w:r>
              <w:rPr>
                <w:szCs w:val="18"/>
              </w:rPr>
              <w:t>BSH</w:t>
            </w:r>
          </w:p>
        </w:tc>
        <w:tc>
          <w:tcPr>
            <w:tcW w:w="1276" w:type="dxa"/>
            <w:tcBorders>
              <w:top w:val="single" w:sz="6" w:space="0" w:color="auto"/>
              <w:bottom w:val="single" w:sz="6" w:space="0" w:color="auto"/>
            </w:tcBorders>
          </w:tcPr>
          <w:p w:rsidR="003E3CC3" w:rsidRPr="007237C0" w:rsidRDefault="003F6203" w:rsidP="00CB440C">
            <w:pPr>
              <w:pStyle w:val="ISOClause"/>
              <w:spacing w:before="60" w:after="60" w:line="240" w:lineRule="auto"/>
              <w:rPr>
                <w:szCs w:val="18"/>
              </w:rPr>
            </w:pPr>
            <w:r>
              <w:rPr>
                <w:szCs w:val="18"/>
              </w:rPr>
              <w:t>Item 1</w:t>
            </w:r>
          </w:p>
        </w:tc>
        <w:tc>
          <w:tcPr>
            <w:tcW w:w="1070" w:type="dxa"/>
            <w:tcBorders>
              <w:top w:val="single" w:sz="6" w:space="0" w:color="auto"/>
              <w:bottom w:val="single" w:sz="6" w:space="0" w:color="auto"/>
            </w:tcBorders>
          </w:tcPr>
          <w:p w:rsidR="003E3CC3" w:rsidRPr="007237C0" w:rsidRDefault="003F6203" w:rsidP="00CB440C">
            <w:pPr>
              <w:pStyle w:val="ISOParagraph"/>
              <w:spacing w:before="60" w:after="60" w:line="240" w:lineRule="auto"/>
              <w:rPr>
                <w:szCs w:val="18"/>
              </w:rPr>
            </w:pPr>
            <w:r>
              <w:rPr>
                <w:szCs w:val="18"/>
              </w:rPr>
              <w:t>Table of additional vertical datums</w:t>
            </w:r>
          </w:p>
        </w:tc>
        <w:tc>
          <w:tcPr>
            <w:tcW w:w="720" w:type="dxa"/>
            <w:tcBorders>
              <w:top w:val="single" w:sz="6" w:space="0" w:color="auto"/>
              <w:bottom w:val="single" w:sz="6" w:space="0" w:color="auto"/>
            </w:tcBorders>
          </w:tcPr>
          <w:p w:rsidR="003E3CC3" w:rsidRPr="007237C0" w:rsidRDefault="004D4806" w:rsidP="004D4806">
            <w:pPr>
              <w:pStyle w:val="ISOCommType"/>
              <w:spacing w:before="60" w:after="60" w:line="240" w:lineRule="auto"/>
              <w:rPr>
                <w:szCs w:val="18"/>
              </w:rPr>
            </w:pPr>
            <w:r>
              <w:rPr>
                <w:szCs w:val="18"/>
              </w:rPr>
              <w:t>ge</w:t>
            </w:r>
          </w:p>
        </w:tc>
        <w:tc>
          <w:tcPr>
            <w:tcW w:w="4440" w:type="dxa"/>
            <w:tcBorders>
              <w:top w:val="single" w:sz="6" w:space="0" w:color="auto"/>
              <w:bottom w:val="single" w:sz="6" w:space="0" w:color="auto"/>
            </w:tcBorders>
          </w:tcPr>
          <w:p w:rsidR="003E3CC3" w:rsidRPr="007237C0" w:rsidRDefault="001E67ED" w:rsidP="007903F6">
            <w:pPr>
              <w:pStyle w:val="ISOComments"/>
              <w:spacing w:before="60" w:after="60"/>
              <w:jc w:val="both"/>
              <w:rPr>
                <w:szCs w:val="18"/>
              </w:rPr>
            </w:pPr>
            <w:r w:rsidRPr="001E67ED">
              <w:rPr>
                <w:szCs w:val="18"/>
              </w:rPr>
              <w:t>The proposed extensions have a direct impact on the S-102 Ed. 2.0.0 clause 12.7.4. The product specification must be adapted by the proposed change. It cannot be ruled out that other product specifications that use S100_VerticalAndSoundingDatum will also need to be adapted.</w:t>
            </w:r>
          </w:p>
        </w:tc>
        <w:tc>
          <w:tcPr>
            <w:tcW w:w="4200" w:type="dxa"/>
            <w:tcBorders>
              <w:top w:val="single" w:sz="6" w:space="0" w:color="auto"/>
              <w:bottom w:val="single" w:sz="6" w:space="0" w:color="auto"/>
            </w:tcBorders>
          </w:tcPr>
          <w:p w:rsidR="003E3CC3" w:rsidRPr="007237C0" w:rsidRDefault="001E67ED" w:rsidP="007903F6">
            <w:pPr>
              <w:pStyle w:val="ISOChange"/>
              <w:spacing w:before="60" w:after="60"/>
              <w:jc w:val="both"/>
              <w:rPr>
                <w:szCs w:val="18"/>
              </w:rPr>
            </w:pPr>
            <w:r w:rsidRPr="001E67ED">
              <w:rPr>
                <w:szCs w:val="18"/>
              </w:rPr>
              <w:t>Postpone the proposal until a concrete impact analysis is available from the proposer.</w:t>
            </w:r>
          </w:p>
        </w:tc>
        <w:tc>
          <w:tcPr>
            <w:tcW w:w="2605" w:type="dxa"/>
            <w:tcBorders>
              <w:top w:val="single" w:sz="6" w:space="0" w:color="auto"/>
              <w:bottom w:val="single" w:sz="6" w:space="0" w:color="auto"/>
            </w:tcBorders>
          </w:tcPr>
          <w:p w:rsidR="003E3CC3" w:rsidRPr="007237C0" w:rsidRDefault="003E3CC3" w:rsidP="00CB440C">
            <w:pPr>
              <w:pStyle w:val="ISOSecretObservations"/>
              <w:spacing w:before="60" w:after="60" w:line="240" w:lineRule="auto"/>
              <w:rPr>
                <w:szCs w:val="18"/>
              </w:rPr>
            </w:pPr>
          </w:p>
        </w:tc>
      </w:tr>
      <w:tr w:rsidR="000B7C1E" w:rsidTr="00416FF1">
        <w:tblPrEx>
          <w:tblCellMar>
            <w:top w:w="0" w:type="dxa"/>
            <w:bottom w:w="0" w:type="dxa"/>
          </w:tblCellMar>
        </w:tblPrEx>
        <w:trPr>
          <w:jc w:val="center"/>
        </w:trPr>
        <w:tc>
          <w:tcPr>
            <w:tcW w:w="667" w:type="dxa"/>
            <w:tcBorders>
              <w:top w:val="single" w:sz="6" w:space="0" w:color="auto"/>
              <w:bottom w:val="single" w:sz="6" w:space="0" w:color="auto"/>
            </w:tcBorders>
          </w:tcPr>
          <w:p w:rsidR="000B7C1E" w:rsidRPr="007237C0" w:rsidRDefault="000B7C1E" w:rsidP="00CB440C">
            <w:pPr>
              <w:pStyle w:val="ISOMB"/>
              <w:spacing w:before="60" w:after="60" w:line="240" w:lineRule="auto"/>
              <w:rPr>
                <w:szCs w:val="18"/>
              </w:rPr>
            </w:pPr>
          </w:p>
        </w:tc>
        <w:tc>
          <w:tcPr>
            <w:tcW w:w="774" w:type="dxa"/>
            <w:tcBorders>
              <w:top w:val="single" w:sz="6" w:space="0" w:color="auto"/>
              <w:bottom w:val="single" w:sz="6" w:space="0" w:color="auto"/>
            </w:tcBorders>
          </w:tcPr>
          <w:p w:rsidR="000B7C1E" w:rsidRPr="007237C0" w:rsidRDefault="004D4806" w:rsidP="00CB440C">
            <w:pPr>
              <w:pStyle w:val="ISOMB"/>
              <w:spacing w:before="60" w:after="60" w:line="240" w:lineRule="auto"/>
              <w:rPr>
                <w:szCs w:val="18"/>
              </w:rPr>
            </w:pPr>
            <w:r>
              <w:rPr>
                <w:szCs w:val="18"/>
              </w:rPr>
              <w:t>BSH</w:t>
            </w:r>
          </w:p>
        </w:tc>
        <w:tc>
          <w:tcPr>
            <w:tcW w:w="1276" w:type="dxa"/>
            <w:tcBorders>
              <w:top w:val="single" w:sz="6" w:space="0" w:color="auto"/>
              <w:bottom w:val="single" w:sz="6" w:space="0" w:color="auto"/>
            </w:tcBorders>
          </w:tcPr>
          <w:p w:rsidR="000B7C1E" w:rsidRPr="007237C0" w:rsidRDefault="004D4806" w:rsidP="00CB440C">
            <w:pPr>
              <w:pStyle w:val="ISOClause"/>
              <w:spacing w:before="60" w:after="60" w:line="240" w:lineRule="auto"/>
              <w:rPr>
                <w:szCs w:val="18"/>
              </w:rPr>
            </w:pPr>
            <w:r>
              <w:rPr>
                <w:szCs w:val="18"/>
              </w:rPr>
              <w:t>Item 1</w:t>
            </w:r>
          </w:p>
        </w:tc>
        <w:tc>
          <w:tcPr>
            <w:tcW w:w="1070" w:type="dxa"/>
            <w:tcBorders>
              <w:top w:val="single" w:sz="6" w:space="0" w:color="auto"/>
              <w:bottom w:val="single" w:sz="6" w:space="0" w:color="auto"/>
            </w:tcBorders>
          </w:tcPr>
          <w:p w:rsidR="000B7C1E" w:rsidRPr="007237C0" w:rsidRDefault="004D4806" w:rsidP="00CB440C">
            <w:pPr>
              <w:pStyle w:val="ISOParagraph"/>
              <w:spacing w:before="60" w:after="60" w:line="240" w:lineRule="auto"/>
              <w:rPr>
                <w:szCs w:val="18"/>
              </w:rPr>
            </w:pPr>
            <w:r>
              <w:rPr>
                <w:szCs w:val="18"/>
              </w:rPr>
              <w:t>Table of additional vertical datums</w:t>
            </w:r>
          </w:p>
        </w:tc>
        <w:tc>
          <w:tcPr>
            <w:tcW w:w="720" w:type="dxa"/>
            <w:tcBorders>
              <w:top w:val="single" w:sz="6" w:space="0" w:color="auto"/>
              <w:bottom w:val="single" w:sz="6" w:space="0" w:color="auto"/>
            </w:tcBorders>
          </w:tcPr>
          <w:p w:rsidR="000B7C1E" w:rsidRPr="007237C0" w:rsidRDefault="004D4806" w:rsidP="00CB440C">
            <w:pPr>
              <w:pStyle w:val="ISOCommType"/>
              <w:spacing w:before="60" w:after="60" w:line="240" w:lineRule="auto"/>
              <w:rPr>
                <w:szCs w:val="18"/>
              </w:rPr>
            </w:pPr>
            <w:r>
              <w:rPr>
                <w:szCs w:val="18"/>
              </w:rPr>
              <w:t>te</w:t>
            </w:r>
          </w:p>
        </w:tc>
        <w:tc>
          <w:tcPr>
            <w:tcW w:w="4440" w:type="dxa"/>
            <w:tcBorders>
              <w:top w:val="single" w:sz="6" w:space="0" w:color="auto"/>
              <w:bottom w:val="single" w:sz="6" w:space="0" w:color="auto"/>
            </w:tcBorders>
          </w:tcPr>
          <w:p w:rsidR="000B7C1E" w:rsidRPr="007237C0" w:rsidRDefault="007903F6" w:rsidP="001E67ED">
            <w:pPr>
              <w:pStyle w:val="ISOComments"/>
              <w:spacing w:before="60" w:after="60" w:line="240" w:lineRule="auto"/>
              <w:jc w:val="both"/>
              <w:rPr>
                <w:szCs w:val="18"/>
              </w:rPr>
            </w:pPr>
            <w:r w:rsidRPr="00BD645B">
              <w:rPr>
                <w:szCs w:val="18"/>
              </w:rPr>
              <w:t xml:space="preserve">The adding of further vertical datums to the enumeration leads to mandatory changes in all S-1xx product specifications that are based on the HDF5 format (e.g. S-102) (cf. S-100 Part 10c). For the implementation of an enumeration in HFD5 it is necessary to specify all possible values of the enumeration at the respective attribute. A change of the enumeration therefore has direct effects on all already implemented software products that allow the creation of S-100 products based on HDF5 (e.g. BSH own software, Caris HPD, NOAA S100py-API). Furthermore, additional vertical datums lead to a larger amount of data due to the </w:t>
            </w:r>
            <w:r w:rsidR="000628D4" w:rsidRPr="00EE3275">
              <w:rPr>
                <w:szCs w:val="18"/>
              </w:rPr>
              <w:t xml:space="preserve">implementation </w:t>
            </w:r>
            <w:r w:rsidRPr="00BD645B">
              <w:rPr>
                <w:szCs w:val="18"/>
              </w:rPr>
              <w:t xml:space="preserve">type </w:t>
            </w:r>
            <w:r>
              <w:rPr>
                <w:szCs w:val="18"/>
              </w:rPr>
              <w:t xml:space="preserve">of enumerations </w:t>
            </w:r>
            <w:r w:rsidRPr="00BD645B">
              <w:rPr>
                <w:szCs w:val="18"/>
              </w:rPr>
              <w:t>in HDF5.</w:t>
            </w:r>
          </w:p>
        </w:tc>
        <w:tc>
          <w:tcPr>
            <w:tcW w:w="4200" w:type="dxa"/>
            <w:tcBorders>
              <w:top w:val="single" w:sz="6" w:space="0" w:color="auto"/>
              <w:bottom w:val="single" w:sz="6" w:space="0" w:color="auto"/>
            </w:tcBorders>
          </w:tcPr>
          <w:p w:rsidR="007903F6" w:rsidRDefault="007903F6" w:rsidP="007903F6">
            <w:pPr>
              <w:pStyle w:val="ISOChange"/>
              <w:spacing w:before="60" w:after="60"/>
              <w:jc w:val="both"/>
              <w:rPr>
                <w:szCs w:val="18"/>
              </w:rPr>
            </w:pPr>
            <w:r w:rsidRPr="007903F6">
              <w:rPr>
                <w:szCs w:val="18"/>
              </w:rPr>
              <w:t>Restrict all further extensions to the enumerations and S100_Codelist's in S-100.</w:t>
            </w:r>
          </w:p>
          <w:p w:rsidR="000B7C1E" w:rsidRPr="007237C0" w:rsidRDefault="007903F6" w:rsidP="001E67ED">
            <w:pPr>
              <w:pStyle w:val="ISOChange"/>
              <w:spacing w:before="60" w:after="60" w:line="240" w:lineRule="auto"/>
              <w:jc w:val="both"/>
              <w:rPr>
                <w:szCs w:val="18"/>
              </w:rPr>
            </w:pPr>
            <w:r w:rsidRPr="007903F6">
              <w:rPr>
                <w:szCs w:val="18"/>
              </w:rPr>
              <w:t>Further extensions to enumerations and S100_Codelist's should only be possible after prior analysis of all HDF5-based product specifications in collaboration with the respective PT.</w:t>
            </w:r>
          </w:p>
        </w:tc>
        <w:tc>
          <w:tcPr>
            <w:tcW w:w="2605" w:type="dxa"/>
            <w:tcBorders>
              <w:top w:val="single" w:sz="6" w:space="0" w:color="auto"/>
              <w:bottom w:val="single" w:sz="6" w:space="0" w:color="auto"/>
            </w:tcBorders>
          </w:tcPr>
          <w:p w:rsidR="000B7C1E" w:rsidRDefault="000B7C1E" w:rsidP="00CB440C">
            <w:pPr>
              <w:pStyle w:val="ISOSecretObservations"/>
              <w:spacing w:before="60" w:after="60" w:line="240" w:lineRule="auto"/>
              <w:rPr>
                <w:szCs w:val="18"/>
              </w:rPr>
            </w:pPr>
          </w:p>
        </w:tc>
      </w:tr>
      <w:tr w:rsidR="00493611" w:rsidTr="00416FF1">
        <w:tblPrEx>
          <w:tblCellMar>
            <w:top w:w="0" w:type="dxa"/>
            <w:bottom w:w="0" w:type="dxa"/>
          </w:tblCellMar>
        </w:tblPrEx>
        <w:trPr>
          <w:jc w:val="center"/>
        </w:trPr>
        <w:tc>
          <w:tcPr>
            <w:tcW w:w="667" w:type="dxa"/>
            <w:tcBorders>
              <w:top w:val="single" w:sz="6" w:space="0" w:color="auto"/>
              <w:bottom w:val="single" w:sz="6" w:space="0" w:color="auto"/>
            </w:tcBorders>
          </w:tcPr>
          <w:p w:rsidR="00493611" w:rsidRPr="007237C0" w:rsidRDefault="00493611" w:rsidP="00CB440C">
            <w:pPr>
              <w:pStyle w:val="ISOMB"/>
              <w:spacing w:before="60" w:after="60" w:line="240" w:lineRule="auto"/>
              <w:rPr>
                <w:szCs w:val="18"/>
              </w:rPr>
            </w:pPr>
          </w:p>
        </w:tc>
        <w:tc>
          <w:tcPr>
            <w:tcW w:w="774" w:type="dxa"/>
            <w:tcBorders>
              <w:top w:val="single" w:sz="6" w:space="0" w:color="auto"/>
              <w:bottom w:val="single" w:sz="6" w:space="0" w:color="auto"/>
            </w:tcBorders>
          </w:tcPr>
          <w:p w:rsidR="00493611" w:rsidRPr="007237C0" w:rsidRDefault="00EE3275" w:rsidP="00CB440C">
            <w:pPr>
              <w:pStyle w:val="ISOMB"/>
              <w:spacing w:before="60" w:after="60" w:line="240" w:lineRule="auto"/>
              <w:rPr>
                <w:szCs w:val="18"/>
              </w:rPr>
            </w:pPr>
            <w:r>
              <w:rPr>
                <w:szCs w:val="18"/>
              </w:rPr>
              <w:t>BSH</w:t>
            </w:r>
          </w:p>
        </w:tc>
        <w:tc>
          <w:tcPr>
            <w:tcW w:w="1276" w:type="dxa"/>
            <w:tcBorders>
              <w:top w:val="single" w:sz="6" w:space="0" w:color="auto"/>
              <w:bottom w:val="single" w:sz="6" w:space="0" w:color="auto"/>
            </w:tcBorders>
          </w:tcPr>
          <w:p w:rsidR="00493611" w:rsidRDefault="00EE3275" w:rsidP="00CB440C">
            <w:pPr>
              <w:pStyle w:val="ISOClause"/>
              <w:spacing w:before="60" w:after="60" w:line="240" w:lineRule="auto"/>
              <w:rPr>
                <w:szCs w:val="18"/>
              </w:rPr>
            </w:pPr>
            <w:r>
              <w:rPr>
                <w:szCs w:val="18"/>
              </w:rPr>
              <w:t>Item 2</w:t>
            </w:r>
          </w:p>
        </w:tc>
        <w:tc>
          <w:tcPr>
            <w:tcW w:w="1070" w:type="dxa"/>
            <w:tcBorders>
              <w:top w:val="single" w:sz="6" w:space="0" w:color="auto"/>
              <w:bottom w:val="single" w:sz="6" w:space="0" w:color="auto"/>
            </w:tcBorders>
          </w:tcPr>
          <w:p w:rsidR="00493611" w:rsidRDefault="00EE3275" w:rsidP="00EE3275">
            <w:pPr>
              <w:pStyle w:val="ISOParagraph"/>
              <w:spacing w:before="60" w:after="60" w:line="240" w:lineRule="auto"/>
              <w:rPr>
                <w:szCs w:val="18"/>
              </w:rPr>
            </w:pPr>
            <w:r>
              <w:rPr>
                <w:szCs w:val="18"/>
              </w:rPr>
              <w:t>Codelist value “other”</w:t>
            </w:r>
          </w:p>
        </w:tc>
        <w:tc>
          <w:tcPr>
            <w:tcW w:w="720" w:type="dxa"/>
            <w:tcBorders>
              <w:top w:val="single" w:sz="6" w:space="0" w:color="auto"/>
              <w:bottom w:val="single" w:sz="6" w:space="0" w:color="auto"/>
            </w:tcBorders>
          </w:tcPr>
          <w:p w:rsidR="00493611" w:rsidRDefault="00EE3275" w:rsidP="00CB440C">
            <w:pPr>
              <w:pStyle w:val="ISOCommType"/>
              <w:spacing w:before="60" w:after="60" w:line="240" w:lineRule="auto"/>
              <w:rPr>
                <w:szCs w:val="18"/>
              </w:rPr>
            </w:pPr>
            <w:r>
              <w:rPr>
                <w:szCs w:val="18"/>
              </w:rPr>
              <w:t>ge</w:t>
            </w:r>
          </w:p>
        </w:tc>
        <w:tc>
          <w:tcPr>
            <w:tcW w:w="4440" w:type="dxa"/>
            <w:tcBorders>
              <w:top w:val="single" w:sz="6" w:space="0" w:color="auto"/>
              <w:bottom w:val="single" w:sz="6" w:space="0" w:color="auto"/>
            </w:tcBorders>
          </w:tcPr>
          <w:p w:rsidR="00493611" w:rsidRDefault="00EE3275" w:rsidP="00EE3275">
            <w:pPr>
              <w:pStyle w:val="ISOComments"/>
              <w:spacing w:before="60" w:after="60" w:line="240" w:lineRule="auto"/>
              <w:jc w:val="both"/>
              <w:rPr>
                <w:szCs w:val="18"/>
              </w:rPr>
            </w:pPr>
            <w:r w:rsidRPr="00EE3275">
              <w:rPr>
                <w:szCs w:val="18"/>
              </w:rPr>
              <w:t>A vertical datum that does not need to be processed by the software has no advantages and should be converted into a datum that must be processed. The introduction of a value "other" would only serve a niche market. However, the impact of the implementation is significant and, in our view, does not justify the benefit.</w:t>
            </w:r>
          </w:p>
        </w:tc>
        <w:tc>
          <w:tcPr>
            <w:tcW w:w="4200" w:type="dxa"/>
            <w:tcBorders>
              <w:top w:val="single" w:sz="6" w:space="0" w:color="auto"/>
              <w:bottom w:val="single" w:sz="6" w:space="0" w:color="auto"/>
            </w:tcBorders>
          </w:tcPr>
          <w:p w:rsidR="00493611" w:rsidRDefault="00EE3275" w:rsidP="00EE3275">
            <w:pPr>
              <w:pStyle w:val="ISOChange"/>
              <w:spacing w:before="60" w:after="60" w:line="240" w:lineRule="auto"/>
              <w:jc w:val="both"/>
              <w:rPr>
                <w:szCs w:val="18"/>
              </w:rPr>
            </w:pPr>
            <w:r w:rsidRPr="00EE3275">
              <w:rPr>
                <w:szCs w:val="18"/>
              </w:rPr>
              <w:t>The introduction of the value "other" should be omitted. This would also eliminate the need to switch from enumeration to S100_Codelist.</w:t>
            </w:r>
          </w:p>
        </w:tc>
        <w:tc>
          <w:tcPr>
            <w:tcW w:w="2605" w:type="dxa"/>
            <w:tcBorders>
              <w:top w:val="single" w:sz="6" w:space="0" w:color="auto"/>
              <w:bottom w:val="single" w:sz="6" w:space="0" w:color="auto"/>
            </w:tcBorders>
          </w:tcPr>
          <w:p w:rsidR="00493611" w:rsidRDefault="00493611" w:rsidP="00CB440C">
            <w:pPr>
              <w:pStyle w:val="ISOSecretObservations"/>
              <w:spacing w:before="60" w:after="60" w:line="240" w:lineRule="auto"/>
              <w:rPr>
                <w:szCs w:val="18"/>
              </w:rPr>
            </w:pPr>
          </w:p>
        </w:tc>
      </w:tr>
      <w:tr w:rsidR="003E3CC3" w:rsidTr="00416FF1">
        <w:tblPrEx>
          <w:tblCellMar>
            <w:top w:w="0" w:type="dxa"/>
            <w:bottom w:w="0" w:type="dxa"/>
          </w:tblCellMar>
        </w:tblPrEx>
        <w:trPr>
          <w:jc w:val="center"/>
        </w:trPr>
        <w:tc>
          <w:tcPr>
            <w:tcW w:w="667" w:type="dxa"/>
            <w:tcBorders>
              <w:top w:val="single" w:sz="6" w:space="0" w:color="auto"/>
              <w:bottom w:val="single" w:sz="6" w:space="0" w:color="auto"/>
            </w:tcBorders>
          </w:tcPr>
          <w:p w:rsidR="003E3CC3" w:rsidRPr="007237C0" w:rsidRDefault="003E3CC3" w:rsidP="004A18AD">
            <w:pPr>
              <w:pStyle w:val="ISOMB"/>
              <w:spacing w:before="60" w:after="60" w:line="240" w:lineRule="auto"/>
              <w:rPr>
                <w:szCs w:val="18"/>
              </w:rPr>
            </w:pPr>
          </w:p>
        </w:tc>
        <w:tc>
          <w:tcPr>
            <w:tcW w:w="774" w:type="dxa"/>
            <w:tcBorders>
              <w:top w:val="single" w:sz="6" w:space="0" w:color="auto"/>
              <w:bottom w:val="single" w:sz="6" w:space="0" w:color="auto"/>
            </w:tcBorders>
          </w:tcPr>
          <w:p w:rsidR="003E3CC3" w:rsidRPr="007237C0" w:rsidRDefault="00616C22" w:rsidP="004A18AD">
            <w:pPr>
              <w:pStyle w:val="ISOMB"/>
              <w:spacing w:before="60" w:after="60" w:line="240" w:lineRule="auto"/>
              <w:rPr>
                <w:szCs w:val="18"/>
              </w:rPr>
            </w:pPr>
            <w:r>
              <w:rPr>
                <w:szCs w:val="18"/>
              </w:rPr>
              <w:t>BSH</w:t>
            </w:r>
          </w:p>
        </w:tc>
        <w:tc>
          <w:tcPr>
            <w:tcW w:w="1276" w:type="dxa"/>
            <w:tcBorders>
              <w:top w:val="single" w:sz="6" w:space="0" w:color="auto"/>
              <w:bottom w:val="single" w:sz="6" w:space="0" w:color="auto"/>
            </w:tcBorders>
          </w:tcPr>
          <w:p w:rsidR="003E3CC3" w:rsidRPr="007237C0" w:rsidRDefault="00616C22" w:rsidP="004A18AD">
            <w:pPr>
              <w:pStyle w:val="ISOClause"/>
              <w:spacing w:before="60" w:after="60" w:line="240" w:lineRule="auto"/>
              <w:rPr>
                <w:szCs w:val="18"/>
              </w:rPr>
            </w:pPr>
            <w:r>
              <w:rPr>
                <w:szCs w:val="18"/>
              </w:rPr>
              <w:t>Item 2</w:t>
            </w:r>
          </w:p>
        </w:tc>
        <w:tc>
          <w:tcPr>
            <w:tcW w:w="1070" w:type="dxa"/>
            <w:tcBorders>
              <w:top w:val="single" w:sz="6" w:space="0" w:color="auto"/>
              <w:bottom w:val="single" w:sz="6" w:space="0" w:color="auto"/>
            </w:tcBorders>
          </w:tcPr>
          <w:p w:rsidR="003E3CC3" w:rsidRPr="007237C0" w:rsidRDefault="00616C22" w:rsidP="00616C22">
            <w:pPr>
              <w:pStyle w:val="ISOParagraph"/>
              <w:spacing w:before="60" w:after="60" w:line="240" w:lineRule="auto"/>
              <w:rPr>
                <w:szCs w:val="18"/>
              </w:rPr>
            </w:pPr>
            <w:r>
              <w:rPr>
                <w:szCs w:val="18"/>
              </w:rPr>
              <w:t>Switch to Codelist</w:t>
            </w:r>
          </w:p>
        </w:tc>
        <w:tc>
          <w:tcPr>
            <w:tcW w:w="720" w:type="dxa"/>
            <w:tcBorders>
              <w:top w:val="single" w:sz="6" w:space="0" w:color="auto"/>
              <w:bottom w:val="single" w:sz="6" w:space="0" w:color="auto"/>
            </w:tcBorders>
          </w:tcPr>
          <w:p w:rsidR="003E3CC3" w:rsidRPr="007237C0" w:rsidRDefault="00616C22" w:rsidP="004A18AD">
            <w:pPr>
              <w:pStyle w:val="ISOCommType"/>
              <w:spacing w:before="60" w:after="60" w:line="240" w:lineRule="auto"/>
              <w:rPr>
                <w:szCs w:val="18"/>
              </w:rPr>
            </w:pPr>
            <w:r>
              <w:rPr>
                <w:szCs w:val="18"/>
              </w:rPr>
              <w:t>te</w:t>
            </w:r>
          </w:p>
        </w:tc>
        <w:tc>
          <w:tcPr>
            <w:tcW w:w="4440" w:type="dxa"/>
            <w:tcBorders>
              <w:top w:val="single" w:sz="6" w:space="0" w:color="auto"/>
              <w:bottom w:val="single" w:sz="6" w:space="0" w:color="auto"/>
            </w:tcBorders>
          </w:tcPr>
          <w:p w:rsidR="003E3CC3" w:rsidRPr="007237C0" w:rsidRDefault="00616C22" w:rsidP="009114CA">
            <w:pPr>
              <w:pStyle w:val="ISOComments"/>
              <w:spacing w:before="60" w:after="60"/>
              <w:jc w:val="both"/>
              <w:rPr>
                <w:szCs w:val="18"/>
              </w:rPr>
            </w:pPr>
            <w:r w:rsidRPr="00616C22">
              <w:rPr>
                <w:szCs w:val="18"/>
              </w:rPr>
              <w:t xml:space="preserve">The change from an enumeration to an S100_Codelist has a direct impact on all S-100 products that are based on the HDF5 format. An S100_Codelist is implemented in HDF5 in a fundamentally different way to an enumeration (see </w:t>
            </w:r>
            <w:r w:rsidRPr="00616C22">
              <w:rPr>
                <w:szCs w:val="18"/>
              </w:rPr>
              <w:lastRenderedPageBreak/>
              <w:t>S-100 Ed. 4.0.0 Part 10c Table 10c-1)</w:t>
            </w:r>
            <w:r w:rsidR="0012396D">
              <w:rPr>
                <w:szCs w:val="18"/>
              </w:rPr>
              <w:t xml:space="preserve"> (enumeration vs. </w:t>
            </w:r>
            <w:r w:rsidR="0012396D" w:rsidRPr="0012396D">
              <w:rPr>
                <w:szCs w:val="18"/>
              </w:rPr>
              <w:t>Compound (Enumeration, variable-length string)</w:t>
            </w:r>
            <w:r w:rsidR="0012396D">
              <w:rPr>
                <w:szCs w:val="18"/>
              </w:rPr>
              <w:t>).</w:t>
            </w:r>
            <w:r w:rsidRPr="00616C22">
              <w:rPr>
                <w:szCs w:val="18"/>
              </w:rPr>
              <w:t xml:space="preserve"> Due to the change all HDF5 reading and writing software products have to be adapted (e.g. BSH own software, Caris HPD, 7Cs software, NOAA S100py). No particular benefit from the change to S100_Codelist and the introduction of the "other" value is apparent.</w:t>
            </w:r>
          </w:p>
        </w:tc>
        <w:tc>
          <w:tcPr>
            <w:tcW w:w="4200" w:type="dxa"/>
            <w:tcBorders>
              <w:top w:val="single" w:sz="6" w:space="0" w:color="auto"/>
              <w:bottom w:val="single" w:sz="6" w:space="0" w:color="auto"/>
            </w:tcBorders>
          </w:tcPr>
          <w:p w:rsidR="003E3CC3" w:rsidRPr="007237C0" w:rsidRDefault="00616C22" w:rsidP="00616C22">
            <w:pPr>
              <w:pStyle w:val="ISOChange"/>
              <w:spacing w:before="60" w:after="60" w:line="240" w:lineRule="auto"/>
              <w:jc w:val="both"/>
              <w:rPr>
                <w:szCs w:val="18"/>
              </w:rPr>
            </w:pPr>
            <w:r w:rsidRPr="00616C22">
              <w:rPr>
                <w:szCs w:val="18"/>
              </w:rPr>
              <w:lastRenderedPageBreak/>
              <w:t>We recommend rejecting the change from an enumeration to the S100_Codelist.</w:t>
            </w:r>
          </w:p>
        </w:tc>
        <w:tc>
          <w:tcPr>
            <w:tcW w:w="2605" w:type="dxa"/>
            <w:tcBorders>
              <w:top w:val="single" w:sz="6" w:space="0" w:color="auto"/>
              <w:bottom w:val="single" w:sz="6" w:space="0" w:color="auto"/>
            </w:tcBorders>
          </w:tcPr>
          <w:p w:rsidR="003E3CC3" w:rsidRPr="007237C0" w:rsidRDefault="003E3CC3" w:rsidP="004A18AD">
            <w:pPr>
              <w:pStyle w:val="ISOSecretObservations"/>
              <w:spacing w:before="60" w:after="60" w:line="240" w:lineRule="auto"/>
              <w:rPr>
                <w:szCs w:val="18"/>
              </w:rPr>
            </w:pPr>
          </w:p>
        </w:tc>
      </w:tr>
    </w:tbl>
    <w:p w:rsidR="00FF0862" w:rsidRDefault="00FF0862">
      <w:pPr>
        <w:spacing w:line="240" w:lineRule="exact"/>
      </w:pPr>
    </w:p>
    <w:sectPr w:rsidR="00FF0862">
      <w:headerReference w:type="default" r:id="rId7"/>
      <w:footerReference w:type="default" r:id="rId8"/>
      <w:headerReference w:type="first" r:id="rId9"/>
      <w:footerReference w:type="first" r:id="rId10"/>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2A1" w:rsidRDefault="000122A1">
      <w:r>
        <w:separator/>
      </w:r>
    </w:p>
  </w:endnote>
  <w:endnote w:type="continuationSeparator" w:id="0">
    <w:p w:rsidR="000122A1" w:rsidRDefault="0001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E8B" w:rsidRDefault="00886E8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rsidR="00886E8B" w:rsidRDefault="00886E8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rsidR="00886E8B" w:rsidRDefault="00886E8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rsidR="00886E8B" w:rsidRDefault="00886E8B">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rsidR="00886E8B" w:rsidRDefault="00886E8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4E5A22">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4E5A22">
      <w:rPr>
        <w:rStyle w:val="PageNumber"/>
        <w:noProof/>
        <w:sz w:val="16"/>
        <w:lang w:val="en-US"/>
      </w:rPr>
      <w:t>2</w:t>
    </w:r>
    <w:r>
      <w:rPr>
        <w:rStyle w:val="PageNumber"/>
        <w:sz w:val="16"/>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E8B" w:rsidRDefault="00886E8B">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place">
      <w:smartTag w:uri="urn:schemas-microsoft-com:office:smarttags" w:element="country-region">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rsidR="00886E8B" w:rsidRDefault="00886E8B">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rsidR="00886E8B" w:rsidRDefault="00886E8B">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rsidR="00886E8B" w:rsidRDefault="00886E8B">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rsidR="00886E8B" w:rsidRDefault="00886E8B">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2A1" w:rsidRDefault="000122A1">
      <w:r>
        <w:separator/>
      </w:r>
    </w:p>
  </w:footnote>
  <w:footnote w:type="continuationSeparator" w:id="0">
    <w:p w:rsidR="000122A1" w:rsidRDefault="00012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50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521"/>
    </w:tblGrid>
    <w:tr w:rsidR="00886E8B">
      <w:tblPrEx>
        <w:tblCellMar>
          <w:top w:w="0" w:type="dxa"/>
          <w:bottom w:w="0" w:type="dxa"/>
        </w:tblCellMar>
      </w:tblPrEx>
      <w:trPr>
        <w:cantSplit/>
        <w:jc w:val="center"/>
      </w:trPr>
      <w:tc>
        <w:tcPr>
          <w:tcW w:w="8688" w:type="dxa"/>
          <w:tcBorders>
            <w:top w:val="nil"/>
            <w:left w:val="nil"/>
            <w:bottom w:val="nil"/>
            <w:right w:val="nil"/>
          </w:tcBorders>
        </w:tcPr>
        <w:p w:rsidR="00886E8B" w:rsidRDefault="00886E8B" w:rsidP="006D388B">
          <w:pPr>
            <w:pStyle w:val="ISOComments"/>
            <w:spacing w:before="60" w:after="60"/>
          </w:pPr>
          <w:r>
            <w:rPr>
              <w:rStyle w:val="MTEquationSection"/>
              <w:b/>
              <w:bCs/>
              <w:color w:val="auto"/>
              <w:sz w:val="22"/>
            </w:rPr>
            <w:t xml:space="preserve"> </w:t>
          </w:r>
          <w:r w:rsidR="003F6203" w:rsidRPr="003F6203">
            <w:rPr>
              <w:rStyle w:val="MTEquationSection"/>
              <w:b/>
              <w:bCs/>
              <w:color w:val="auto"/>
              <w:sz w:val="22"/>
            </w:rPr>
            <w:t xml:space="preserve">S-100WG6-04.2B </w:t>
          </w:r>
          <w:r>
            <w:rPr>
              <w:rStyle w:val="MTEquationSection"/>
              <w:b/>
              <w:bCs/>
              <w:color w:val="auto"/>
              <w:sz w:val="22"/>
            </w:rPr>
            <w:t xml:space="preserve">comments and editorial observations </w:t>
          </w:r>
        </w:p>
      </w:tc>
      <w:tc>
        <w:tcPr>
          <w:tcW w:w="2294" w:type="dxa"/>
          <w:tcBorders>
            <w:top w:val="single" w:sz="6" w:space="0" w:color="auto"/>
            <w:left w:val="single" w:sz="6" w:space="0" w:color="auto"/>
            <w:bottom w:val="single" w:sz="6" w:space="0" w:color="auto"/>
          </w:tcBorders>
        </w:tcPr>
        <w:p w:rsidR="00886E8B" w:rsidRDefault="00886E8B" w:rsidP="006D388B">
          <w:pPr>
            <w:pStyle w:val="ISOChange"/>
            <w:spacing w:before="60" w:after="60"/>
            <w:rPr>
              <w:bCs/>
            </w:rPr>
          </w:pPr>
          <w:r>
            <w:rPr>
              <w:bCs/>
            </w:rPr>
            <w:t xml:space="preserve">Date: </w:t>
          </w:r>
          <w:r w:rsidR="003F6203">
            <w:rPr>
              <w:bCs/>
            </w:rPr>
            <w:t>2022/01/07</w:t>
          </w:r>
        </w:p>
      </w:tc>
      <w:tc>
        <w:tcPr>
          <w:tcW w:w="4521" w:type="dxa"/>
          <w:tcBorders>
            <w:top w:val="single" w:sz="6" w:space="0" w:color="auto"/>
            <w:bottom w:val="single" w:sz="6" w:space="0" w:color="auto"/>
          </w:tcBorders>
        </w:tcPr>
        <w:p w:rsidR="00886E8B" w:rsidRDefault="00886E8B" w:rsidP="003F6203">
          <w:pPr>
            <w:pStyle w:val="ISOSecretObservations"/>
            <w:spacing w:before="60" w:after="60"/>
            <w:rPr>
              <w:bCs/>
              <w:sz w:val="20"/>
            </w:rPr>
          </w:pPr>
          <w:r>
            <w:rPr>
              <w:bCs/>
            </w:rPr>
            <w:t>Document:</w:t>
          </w:r>
          <w:r>
            <w:rPr>
              <w:b/>
              <w:sz w:val="20"/>
            </w:rPr>
            <w:t xml:space="preserve"> </w:t>
          </w:r>
        </w:p>
      </w:tc>
    </w:tr>
  </w:tbl>
  <w:p w:rsidR="00886E8B" w:rsidRDefault="00886E8B">
    <w:pPr>
      <w:pStyle w:val="Header"/>
    </w:pPr>
  </w:p>
  <w:tbl>
    <w:tblPr>
      <w:tblW w:w="157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74"/>
      <w:gridCol w:w="1276"/>
      <w:gridCol w:w="1029"/>
      <w:gridCol w:w="720"/>
      <w:gridCol w:w="4455"/>
      <w:gridCol w:w="4253"/>
      <w:gridCol w:w="2552"/>
    </w:tblGrid>
    <w:tr w:rsidR="00886E8B" w:rsidTr="00416FF1">
      <w:tblPrEx>
        <w:tblCellMar>
          <w:top w:w="0" w:type="dxa"/>
          <w:bottom w:w="0" w:type="dxa"/>
        </w:tblCellMar>
      </w:tblPrEx>
      <w:trPr>
        <w:cantSplit/>
        <w:jc w:val="center"/>
      </w:trPr>
      <w:tc>
        <w:tcPr>
          <w:tcW w:w="641" w:type="dxa"/>
        </w:tcPr>
        <w:p w:rsidR="00886E8B" w:rsidRDefault="00886E8B" w:rsidP="006D52E3">
          <w:pPr>
            <w:keepLines/>
            <w:spacing w:before="40" w:after="40" w:line="180" w:lineRule="exact"/>
            <w:jc w:val="center"/>
            <w:rPr>
              <w:sz w:val="16"/>
            </w:rPr>
          </w:pPr>
          <w:r>
            <w:rPr>
              <w:sz w:val="16"/>
            </w:rPr>
            <w:t>1</w:t>
          </w:r>
        </w:p>
      </w:tc>
      <w:tc>
        <w:tcPr>
          <w:tcW w:w="600" w:type="dxa"/>
        </w:tcPr>
        <w:p w:rsidR="00886E8B" w:rsidRDefault="00886E8B" w:rsidP="006D52E3">
          <w:pPr>
            <w:keepLines/>
            <w:spacing w:before="40" w:after="40" w:line="180" w:lineRule="exact"/>
            <w:jc w:val="center"/>
            <w:rPr>
              <w:sz w:val="16"/>
            </w:rPr>
          </w:pPr>
          <w:r>
            <w:rPr>
              <w:sz w:val="16"/>
            </w:rPr>
            <w:t>2</w:t>
          </w:r>
        </w:p>
      </w:tc>
      <w:tc>
        <w:tcPr>
          <w:tcW w:w="1450" w:type="dxa"/>
          <w:gridSpan w:val="2"/>
        </w:tcPr>
        <w:p w:rsidR="00886E8B" w:rsidRDefault="00886E8B" w:rsidP="006D52E3">
          <w:pPr>
            <w:keepLines/>
            <w:spacing w:before="40" w:after="40" w:line="180" w:lineRule="exact"/>
            <w:jc w:val="center"/>
            <w:rPr>
              <w:sz w:val="16"/>
            </w:rPr>
          </w:pPr>
          <w:r>
            <w:rPr>
              <w:sz w:val="16"/>
            </w:rPr>
            <w:t>(3)</w:t>
          </w:r>
        </w:p>
      </w:tc>
      <w:tc>
        <w:tcPr>
          <w:tcW w:w="1029" w:type="dxa"/>
        </w:tcPr>
        <w:p w:rsidR="00886E8B" w:rsidRDefault="00886E8B" w:rsidP="006D52E3">
          <w:pPr>
            <w:keepLines/>
            <w:spacing w:before="40" w:after="40" w:line="180" w:lineRule="exact"/>
            <w:jc w:val="center"/>
            <w:rPr>
              <w:sz w:val="16"/>
            </w:rPr>
          </w:pPr>
          <w:r>
            <w:rPr>
              <w:sz w:val="16"/>
            </w:rPr>
            <w:t>4</w:t>
          </w:r>
        </w:p>
      </w:tc>
      <w:tc>
        <w:tcPr>
          <w:tcW w:w="720" w:type="dxa"/>
        </w:tcPr>
        <w:p w:rsidR="00886E8B" w:rsidRDefault="00886E8B" w:rsidP="006D52E3">
          <w:pPr>
            <w:keepLines/>
            <w:spacing w:before="40" w:after="40" w:line="180" w:lineRule="exact"/>
            <w:jc w:val="center"/>
            <w:rPr>
              <w:sz w:val="16"/>
            </w:rPr>
          </w:pPr>
          <w:r>
            <w:rPr>
              <w:sz w:val="16"/>
            </w:rPr>
            <w:t>5</w:t>
          </w:r>
        </w:p>
      </w:tc>
      <w:tc>
        <w:tcPr>
          <w:tcW w:w="4455" w:type="dxa"/>
        </w:tcPr>
        <w:p w:rsidR="00886E8B" w:rsidRDefault="00886E8B" w:rsidP="006D52E3">
          <w:pPr>
            <w:keepLines/>
            <w:spacing w:before="40" w:after="40" w:line="180" w:lineRule="exact"/>
            <w:jc w:val="center"/>
            <w:rPr>
              <w:sz w:val="16"/>
            </w:rPr>
          </w:pPr>
          <w:r>
            <w:rPr>
              <w:sz w:val="16"/>
            </w:rPr>
            <w:t>(6)</w:t>
          </w:r>
        </w:p>
      </w:tc>
      <w:tc>
        <w:tcPr>
          <w:tcW w:w="4253" w:type="dxa"/>
        </w:tcPr>
        <w:p w:rsidR="00886E8B" w:rsidRDefault="00886E8B" w:rsidP="006D52E3">
          <w:pPr>
            <w:keepLines/>
            <w:spacing w:before="40" w:after="40" w:line="180" w:lineRule="exact"/>
            <w:jc w:val="center"/>
            <w:rPr>
              <w:sz w:val="16"/>
            </w:rPr>
          </w:pPr>
          <w:r>
            <w:rPr>
              <w:sz w:val="16"/>
            </w:rPr>
            <w:t>(7)</w:t>
          </w:r>
        </w:p>
      </w:tc>
      <w:tc>
        <w:tcPr>
          <w:tcW w:w="2552" w:type="dxa"/>
        </w:tcPr>
        <w:p w:rsidR="00886E8B" w:rsidRDefault="00886E8B">
          <w:pPr>
            <w:keepLines/>
            <w:spacing w:before="40" w:after="40" w:line="180" w:lineRule="exact"/>
            <w:jc w:val="center"/>
            <w:rPr>
              <w:sz w:val="16"/>
            </w:rPr>
          </w:pPr>
        </w:p>
      </w:tc>
    </w:tr>
    <w:tr w:rsidR="00886E8B" w:rsidTr="00416FF1">
      <w:tblPrEx>
        <w:tblCellMar>
          <w:top w:w="0" w:type="dxa"/>
          <w:bottom w:w="0" w:type="dxa"/>
        </w:tblCellMar>
      </w:tblPrEx>
      <w:trPr>
        <w:cantSplit/>
        <w:trHeight w:val="1134"/>
        <w:jc w:val="center"/>
      </w:trPr>
      <w:tc>
        <w:tcPr>
          <w:tcW w:w="641" w:type="dxa"/>
          <w:textDirection w:val="tbRl"/>
        </w:tcPr>
        <w:p w:rsidR="00886E8B" w:rsidRDefault="00886E8B" w:rsidP="006D52E3">
          <w:pPr>
            <w:keepLines/>
            <w:spacing w:before="100" w:after="60" w:line="190" w:lineRule="exact"/>
            <w:ind w:left="113" w:right="113"/>
            <w:jc w:val="center"/>
            <w:rPr>
              <w:b/>
              <w:sz w:val="16"/>
            </w:rPr>
          </w:pPr>
          <w:r>
            <w:rPr>
              <w:b/>
              <w:sz w:val="16"/>
            </w:rPr>
            <w:t>Component</w:t>
          </w:r>
        </w:p>
      </w:tc>
      <w:tc>
        <w:tcPr>
          <w:tcW w:w="774" w:type="dxa"/>
          <w:gridSpan w:val="2"/>
        </w:tcPr>
        <w:p w:rsidR="00886E8B" w:rsidRDefault="00886E8B">
          <w:pPr>
            <w:keepLines/>
            <w:spacing w:before="100" w:after="60" w:line="190" w:lineRule="exact"/>
            <w:jc w:val="center"/>
            <w:rPr>
              <w:b/>
              <w:sz w:val="16"/>
            </w:rPr>
          </w:pPr>
          <w:r>
            <w:rPr>
              <w:b/>
              <w:sz w:val="16"/>
            </w:rPr>
            <w:t>CO</w:t>
          </w:r>
          <w:r>
            <w:rPr>
              <w:b/>
              <w:bCs/>
              <w:position w:val="6"/>
              <w:sz w:val="12"/>
            </w:rPr>
            <w:t>1</w:t>
          </w:r>
          <w:r>
            <w:rPr>
              <w:b/>
              <w:sz w:val="16"/>
            </w:rPr>
            <w:br/>
          </w:r>
        </w:p>
      </w:tc>
      <w:tc>
        <w:tcPr>
          <w:tcW w:w="1276" w:type="dxa"/>
        </w:tcPr>
        <w:p w:rsidR="00886E8B" w:rsidRDefault="00886E8B">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029" w:type="dxa"/>
        </w:tcPr>
        <w:p w:rsidR="00886E8B" w:rsidRDefault="00886E8B">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rsidR="00886E8B" w:rsidRDefault="00886E8B">
          <w:pPr>
            <w:keepLines/>
            <w:spacing w:before="100" w:after="60" w:line="190" w:lineRule="exact"/>
            <w:jc w:val="center"/>
            <w:rPr>
              <w:b/>
              <w:sz w:val="16"/>
            </w:rPr>
          </w:pPr>
          <w:r>
            <w:rPr>
              <w:b/>
              <w:sz w:val="16"/>
            </w:rPr>
            <w:t>Type of com-ment</w:t>
          </w:r>
          <w:r>
            <w:rPr>
              <w:b/>
              <w:bCs/>
              <w:position w:val="6"/>
              <w:sz w:val="12"/>
            </w:rPr>
            <w:t>2</w:t>
          </w:r>
        </w:p>
      </w:tc>
      <w:tc>
        <w:tcPr>
          <w:tcW w:w="4455" w:type="dxa"/>
        </w:tcPr>
        <w:p w:rsidR="00886E8B" w:rsidRDefault="00886E8B">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rsidR="00886E8B" w:rsidRDefault="00886E8B">
          <w:pPr>
            <w:keepLines/>
            <w:spacing w:before="100" w:after="60" w:line="190" w:lineRule="exact"/>
            <w:jc w:val="center"/>
            <w:rPr>
              <w:b/>
              <w:sz w:val="16"/>
            </w:rPr>
          </w:pPr>
          <w:r>
            <w:rPr>
              <w:b/>
              <w:sz w:val="16"/>
            </w:rPr>
            <w:t>Proposed change by the CO</w:t>
          </w:r>
        </w:p>
      </w:tc>
      <w:tc>
        <w:tcPr>
          <w:tcW w:w="2552" w:type="dxa"/>
        </w:tcPr>
        <w:p w:rsidR="00886E8B" w:rsidRDefault="00886E8B">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rsidR="00886E8B" w:rsidRDefault="00886E8B">
    <w:pPr>
      <w:pStyle w:val="Header"/>
      <w:rPr>
        <w:sz w:val="2"/>
      </w:rPr>
    </w:pPr>
  </w:p>
  <w:p w:rsidR="00886E8B" w:rsidRDefault="00886E8B">
    <w:pPr>
      <w:pStyle w:val="Header"/>
      <w:spacing w:line="14" w:lineRule="exact"/>
      <w:rPr>
        <w:sz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886E8B">
      <w:tblPrEx>
        <w:tblCellMar>
          <w:top w:w="0" w:type="dxa"/>
          <w:bottom w:w="0" w:type="dxa"/>
        </w:tblCellMar>
      </w:tblPrEx>
      <w:trPr>
        <w:cantSplit/>
        <w:jc w:val="center"/>
      </w:trPr>
      <w:tc>
        <w:tcPr>
          <w:tcW w:w="8572" w:type="dxa"/>
          <w:tcBorders>
            <w:top w:val="nil"/>
            <w:left w:val="nil"/>
            <w:bottom w:val="nil"/>
            <w:right w:val="nil"/>
          </w:tcBorders>
        </w:tcPr>
        <w:p w:rsidR="00886E8B" w:rsidRDefault="00886E8B">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rsidR="00886E8B" w:rsidRDefault="00886E8B">
          <w:pPr>
            <w:pStyle w:val="ISOChange"/>
            <w:spacing w:before="60" w:after="60"/>
            <w:rPr>
              <w:bCs/>
            </w:rPr>
          </w:pPr>
          <w:r>
            <w:rPr>
              <w:bCs/>
            </w:rPr>
            <w:t xml:space="preserve">Date: </w:t>
          </w:r>
        </w:p>
      </w:tc>
      <w:tc>
        <w:tcPr>
          <w:tcW w:w="5188" w:type="dxa"/>
          <w:tcBorders>
            <w:top w:val="single" w:sz="6" w:space="0" w:color="auto"/>
            <w:bottom w:val="single" w:sz="6" w:space="0" w:color="auto"/>
          </w:tcBorders>
        </w:tcPr>
        <w:p w:rsidR="00886E8B" w:rsidRDefault="00886E8B">
          <w:pPr>
            <w:pStyle w:val="ISOSecretObservations"/>
            <w:spacing w:before="60" w:after="60"/>
            <w:rPr>
              <w:bCs/>
            </w:rPr>
          </w:pPr>
          <w:r>
            <w:rPr>
              <w:bCs/>
            </w:rPr>
            <w:t>Document:</w:t>
          </w:r>
          <w:r>
            <w:rPr>
              <w:b/>
            </w:rPr>
            <w:t xml:space="preserve"> </w:t>
          </w:r>
          <w:r>
            <w:rPr>
              <w:b/>
              <w:sz w:val="20"/>
            </w:rPr>
            <w:t>ISO/</w:t>
          </w:r>
        </w:p>
      </w:tc>
    </w:tr>
  </w:tbl>
  <w:p w:rsidR="00886E8B" w:rsidRDefault="00886E8B">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886E8B">
      <w:tblPrEx>
        <w:tblCellMar>
          <w:top w:w="0" w:type="dxa"/>
          <w:bottom w:w="0" w:type="dxa"/>
        </w:tblCellMar>
      </w:tblPrEx>
      <w:trPr>
        <w:cantSplit/>
        <w:jc w:val="center"/>
      </w:trPr>
      <w:tc>
        <w:tcPr>
          <w:tcW w:w="539" w:type="dxa"/>
        </w:tcPr>
        <w:p w:rsidR="00886E8B" w:rsidRDefault="00886E8B">
          <w:pPr>
            <w:keepLines/>
            <w:spacing w:before="40" w:after="40" w:line="180" w:lineRule="exact"/>
            <w:jc w:val="center"/>
            <w:rPr>
              <w:sz w:val="16"/>
            </w:rPr>
          </w:pPr>
          <w:r>
            <w:rPr>
              <w:sz w:val="16"/>
            </w:rPr>
            <w:t>1</w:t>
          </w:r>
        </w:p>
      </w:tc>
      <w:tc>
        <w:tcPr>
          <w:tcW w:w="1814" w:type="dxa"/>
        </w:tcPr>
        <w:p w:rsidR="00886E8B" w:rsidRDefault="00886E8B">
          <w:pPr>
            <w:keepLines/>
            <w:spacing w:before="40" w:after="40" w:line="180" w:lineRule="exact"/>
            <w:jc w:val="center"/>
            <w:rPr>
              <w:sz w:val="16"/>
            </w:rPr>
          </w:pPr>
          <w:r>
            <w:rPr>
              <w:sz w:val="16"/>
            </w:rPr>
            <w:t>2</w:t>
          </w:r>
        </w:p>
      </w:tc>
      <w:tc>
        <w:tcPr>
          <w:tcW w:w="1134" w:type="dxa"/>
        </w:tcPr>
        <w:p w:rsidR="00886E8B" w:rsidRDefault="00886E8B">
          <w:pPr>
            <w:keepLines/>
            <w:spacing w:before="40" w:after="40" w:line="180" w:lineRule="exact"/>
            <w:jc w:val="center"/>
            <w:rPr>
              <w:sz w:val="16"/>
            </w:rPr>
          </w:pPr>
          <w:r>
            <w:rPr>
              <w:sz w:val="16"/>
            </w:rPr>
            <w:t>3</w:t>
          </w:r>
        </w:p>
      </w:tc>
      <w:tc>
        <w:tcPr>
          <w:tcW w:w="709" w:type="dxa"/>
        </w:tcPr>
        <w:p w:rsidR="00886E8B" w:rsidRDefault="00886E8B">
          <w:pPr>
            <w:keepLines/>
            <w:spacing w:before="40" w:after="40" w:line="180" w:lineRule="exact"/>
            <w:jc w:val="center"/>
            <w:rPr>
              <w:sz w:val="16"/>
            </w:rPr>
          </w:pPr>
          <w:r>
            <w:rPr>
              <w:sz w:val="16"/>
            </w:rPr>
            <w:t>4</w:t>
          </w:r>
        </w:p>
      </w:tc>
      <w:tc>
        <w:tcPr>
          <w:tcW w:w="4394" w:type="dxa"/>
        </w:tcPr>
        <w:p w:rsidR="00886E8B" w:rsidRDefault="00886E8B">
          <w:pPr>
            <w:keepLines/>
            <w:spacing w:before="40" w:after="40" w:line="180" w:lineRule="exact"/>
            <w:jc w:val="center"/>
            <w:rPr>
              <w:sz w:val="16"/>
            </w:rPr>
          </w:pPr>
          <w:r>
            <w:rPr>
              <w:sz w:val="16"/>
            </w:rPr>
            <w:t>5</w:t>
          </w:r>
        </w:p>
      </w:tc>
      <w:tc>
        <w:tcPr>
          <w:tcW w:w="3828" w:type="dxa"/>
        </w:tcPr>
        <w:p w:rsidR="00886E8B" w:rsidRDefault="00886E8B">
          <w:pPr>
            <w:keepLines/>
            <w:spacing w:before="40" w:after="40" w:line="180" w:lineRule="exact"/>
            <w:jc w:val="center"/>
            <w:rPr>
              <w:sz w:val="16"/>
            </w:rPr>
          </w:pPr>
          <w:r>
            <w:rPr>
              <w:sz w:val="16"/>
            </w:rPr>
            <w:t>6</w:t>
          </w:r>
        </w:p>
      </w:tc>
      <w:tc>
        <w:tcPr>
          <w:tcW w:w="3459" w:type="dxa"/>
        </w:tcPr>
        <w:p w:rsidR="00886E8B" w:rsidRDefault="00886E8B">
          <w:pPr>
            <w:keepLines/>
            <w:spacing w:before="40" w:after="40" w:line="180" w:lineRule="exact"/>
            <w:jc w:val="center"/>
            <w:rPr>
              <w:sz w:val="16"/>
            </w:rPr>
          </w:pPr>
          <w:r>
            <w:rPr>
              <w:sz w:val="16"/>
            </w:rPr>
            <w:t>7</w:t>
          </w:r>
        </w:p>
      </w:tc>
    </w:tr>
    <w:tr w:rsidR="00886E8B">
      <w:tblPrEx>
        <w:tblCellMar>
          <w:top w:w="0" w:type="dxa"/>
          <w:bottom w:w="0" w:type="dxa"/>
        </w:tblCellMar>
      </w:tblPrEx>
      <w:trPr>
        <w:cantSplit/>
        <w:jc w:val="center"/>
      </w:trPr>
      <w:tc>
        <w:tcPr>
          <w:tcW w:w="539" w:type="dxa"/>
        </w:tcPr>
        <w:p w:rsidR="00886E8B" w:rsidRDefault="00886E8B">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rsidR="00886E8B" w:rsidRDefault="00886E8B">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rsidR="00886E8B" w:rsidRDefault="00886E8B">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rsidR="00886E8B" w:rsidRDefault="00886E8B">
          <w:pPr>
            <w:keepLines/>
            <w:spacing w:before="100" w:after="60" w:line="190" w:lineRule="exact"/>
            <w:jc w:val="center"/>
            <w:rPr>
              <w:b/>
              <w:sz w:val="16"/>
            </w:rPr>
          </w:pPr>
          <w:r>
            <w:rPr>
              <w:b/>
              <w:sz w:val="16"/>
            </w:rPr>
            <w:t>Type of com-ment</w:t>
          </w:r>
          <w:r>
            <w:rPr>
              <w:b/>
              <w:bCs/>
              <w:position w:val="6"/>
              <w:sz w:val="12"/>
            </w:rPr>
            <w:t>2</w:t>
          </w:r>
        </w:p>
      </w:tc>
      <w:tc>
        <w:tcPr>
          <w:tcW w:w="4394" w:type="dxa"/>
        </w:tcPr>
        <w:p w:rsidR="00886E8B" w:rsidRDefault="00886E8B">
          <w:pPr>
            <w:keepLines/>
            <w:spacing w:before="100" w:after="60" w:line="190" w:lineRule="exact"/>
            <w:jc w:val="center"/>
            <w:rPr>
              <w:b/>
              <w:sz w:val="16"/>
            </w:rPr>
          </w:pPr>
          <w:r>
            <w:rPr>
              <w:b/>
              <w:sz w:val="16"/>
            </w:rPr>
            <w:t>Comment (justification for change)</w:t>
          </w:r>
        </w:p>
      </w:tc>
      <w:tc>
        <w:tcPr>
          <w:tcW w:w="3828" w:type="dxa"/>
        </w:tcPr>
        <w:p w:rsidR="00886E8B" w:rsidRDefault="00886E8B">
          <w:pPr>
            <w:keepLines/>
            <w:spacing w:before="100" w:after="60" w:line="190" w:lineRule="exact"/>
            <w:jc w:val="center"/>
            <w:rPr>
              <w:b/>
              <w:sz w:val="16"/>
            </w:rPr>
          </w:pPr>
          <w:r>
            <w:rPr>
              <w:b/>
              <w:sz w:val="16"/>
            </w:rPr>
            <w:t>Proposed change</w:t>
          </w:r>
        </w:p>
      </w:tc>
      <w:tc>
        <w:tcPr>
          <w:tcW w:w="3459" w:type="dxa"/>
        </w:tcPr>
        <w:p w:rsidR="00886E8B" w:rsidRDefault="00886E8B">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rsidR="00886E8B" w:rsidRDefault="00886E8B">
    <w:pPr>
      <w:pStyle w:val="Header"/>
      <w:rPr>
        <w:sz w:val="2"/>
      </w:rPr>
    </w:pPr>
  </w:p>
  <w:p w:rsidR="00886E8B" w:rsidRDefault="00886E8B">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8E4"/>
    <w:multiLevelType w:val="hybridMultilevel"/>
    <w:tmpl w:val="8714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FD16A0"/>
    <w:multiLevelType w:val="hybridMultilevel"/>
    <w:tmpl w:val="79C8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974ISO" w:val="-1"/>
  </w:docVars>
  <w:rsids>
    <w:rsidRoot w:val="00786EDA"/>
    <w:rsid w:val="000122A1"/>
    <w:rsid w:val="000241B3"/>
    <w:rsid w:val="00025DD1"/>
    <w:rsid w:val="00027ED8"/>
    <w:rsid w:val="0003042A"/>
    <w:rsid w:val="00031895"/>
    <w:rsid w:val="000348CF"/>
    <w:rsid w:val="0003558E"/>
    <w:rsid w:val="00040DA8"/>
    <w:rsid w:val="000628D4"/>
    <w:rsid w:val="00070510"/>
    <w:rsid w:val="00081ADA"/>
    <w:rsid w:val="00095F36"/>
    <w:rsid w:val="00097546"/>
    <w:rsid w:val="000A0239"/>
    <w:rsid w:val="000B7C1E"/>
    <w:rsid w:val="000C25F7"/>
    <w:rsid w:val="000E6121"/>
    <w:rsid w:val="0012396D"/>
    <w:rsid w:val="001314F6"/>
    <w:rsid w:val="00135F6F"/>
    <w:rsid w:val="0014176E"/>
    <w:rsid w:val="001521CC"/>
    <w:rsid w:val="00152BFE"/>
    <w:rsid w:val="00152C31"/>
    <w:rsid w:val="001B10A8"/>
    <w:rsid w:val="001D2CFA"/>
    <w:rsid w:val="001E23F5"/>
    <w:rsid w:val="001E30DA"/>
    <w:rsid w:val="001E67ED"/>
    <w:rsid w:val="001F6276"/>
    <w:rsid w:val="0021049A"/>
    <w:rsid w:val="00217EE2"/>
    <w:rsid w:val="00222254"/>
    <w:rsid w:val="00246CEA"/>
    <w:rsid w:val="0025381F"/>
    <w:rsid w:val="00281345"/>
    <w:rsid w:val="0028565D"/>
    <w:rsid w:val="002A054D"/>
    <w:rsid w:val="002B0CCC"/>
    <w:rsid w:val="002B259A"/>
    <w:rsid w:val="002B27C9"/>
    <w:rsid w:val="002C1B82"/>
    <w:rsid w:val="002C2029"/>
    <w:rsid w:val="002C4208"/>
    <w:rsid w:val="002C49CC"/>
    <w:rsid w:val="002C4AA7"/>
    <w:rsid w:val="002D266B"/>
    <w:rsid w:val="002E194D"/>
    <w:rsid w:val="002F230B"/>
    <w:rsid w:val="00315943"/>
    <w:rsid w:val="00317E59"/>
    <w:rsid w:val="00325A51"/>
    <w:rsid w:val="00341814"/>
    <w:rsid w:val="00342082"/>
    <w:rsid w:val="003425AE"/>
    <w:rsid w:val="0036088C"/>
    <w:rsid w:val="00364651"/>
    <w:rsid w:val="00364D2D"/>
    <w:rsid w:val="003738B7"/>
    <w:rsid w:val="0037406B"/>
    <w:rsid w:val="00375A4F"/>
    <w:rsid w:val="00375C86"/>
    <w:rsid w:val="00386B89"/>
    <w:rsid w:val="003B3CDB"/>
    <w:rsid w:val="003C3EF8"/>
    <w:rsid w:val="003D0E29"/>
    <w:rsid w:val="003D48F5"/>
    <w:rsid w:val="003E3CC3"/>
    <w:rsid w:val="003F6203"/>
    <w:rsid w:val="00405F0B"/>
    <w:rsid w:val="004118BC"/>
    <w:rsid w:val="0041647E"/>
    <w:rsid w:val="00416FF1"/>
    <w:rsid w:val="00421F9E"/>
    <w:rsid w:val="00427387"/>
    <w:rsid w:val="004311E4"/>
    <w:rsid w:val="00432A67"/>
    <w:rsid w:val="00441CA2"/>
    <w:rsid w:val="00451008"/>
    <w:rsid w:val="00454C9B"/>
    <w:rsid w:val="004668BB"/>
    <w:rsid w:val="00467708"/>
    <w:rsid w:val="0047633A"/>
    <w:rsid w:val="00493611"/>
    <w:rsid w:val="00496D2D"/>
    <w:rsid w:val="004A14C2"/>
    <w:rsid w:val="004A18AD"/>
    <w:rsid w:val="004A7CEF"/>
    <w:rsid w:val="004D4806"/>
    <w:rsid w:val="004E0AB5"/>
    <w:rsid w:val="004E5A22"/>
    <w:rsid w:val="004E6497"/>
    <w:rsid w:val="004F3B5A"/>
    <w:rsid w:val="00527189"/>
    <w:rsid w:val="00527237"/>
    <w:rsid w:val="005803E7"/>
    <w:rsid w:val="005A2A91"/>
    <w:rsid w:val="005B55C8"/>
    <w:rsid w:val="005E3809"/>
    <w:rsid w:val="00603C9B"/>
    <w:rsid w:val="006051AA"/>
    <w:rsid w:val="006075E4"/>
    <w:rsid w:val="00607BFE"/>
    <w:rsid w:val="00614FF1"/>
    <w:rsid w:val="00616C22"/>
    <w:rsid w:val="00663358"/>
    <w:rsid w:val="00666B75"/>
    <w:rsid w:val="006726EE"/>
    <w:rsid w:val="00676BF3"/>
    <w:rsid w:val="006A7BFE"/>
    <w:rsid w:val="006C08A1"/>
    <w:rsid w:val="006D026C"/>
    <w:rsid w:val="006D388B"/>
    <w:rsid w:val="006D52E3"/>
    <w:rsid w:val="006F137F"/>
    <w:rsid w:val="006F18EA"/>
    <w:rsid w:val="006F267F"/>
    <w:rsid w:val="006F5D88"/>
    <w:rsid w:val="007162CE"/>
    <w:rsid w:val="007237C0"/>
    <w:rsid w:val="00740B80"/>
    <w:rsid w:val="00744D7C"/>
    <w:rsid w:val="00756CC4"/>
    <w:rsid w:val="00763661"/>
    <w:rsid w:val="00774304"/>
    <w:rsid w:val="007761F5"/>
    <w:rsid w:val="007762DE"/>
    <w:rsid w:val="00777B5F"/>
    <w:rsid w:val="00777BC3"/>
    <w:rsid w:val="00781EBD"/>
    <w:rsid w:val="00786EDA"/>
    <w:rsid w:val="0079031D"/>
    <w:rsid w:val="007903F6"/>
    <w:rsid w:val="00797D8A"/>
    <w:rsid w:val="007A17EB"/>
    <w:rsid w:val="007C0423"/>
    <w:rsid w:val="007C3AD2"/>
    <w:rsid w:val="007C41B6"/>
    <w:rsid w:val="007D5CCA"/>
    <w:rsid w:val="007E33A7"/>
    <w:rsid w:val="007E538E"/>
    <w:rsid w:val="007F616F"/>
    <w:rsid w:val="00800336"/>
    <w:rsid w:val="00815C2B"/>
    <w:rsid w:val="008246C5"/>
    <w:rsid w:val="00854124"/>
    <w:rsid w:val="00861DFB"/>
    <w:rsid w:val="00863CD8"/>
    <w:rsid w:val="008666F3"/>
    <w:rsid w:val="00866E14"/>
    <w:rsid w:val="00870559"/>
    <w:rsid w:val="0087714A"/>
    <w:rsid w:val="008826F3"/>
    <w:rsid w:val="00886E8B"/>
    <w:rsid w:val="008A1ABE"/>
    <w:rsid w:val="008A1DEF"/>
    <w:rsid w:val="008D2F31"/>
    <w:rsid w:val="008D6163"/>
    <w:rsid w:val="008F1891"/>
    <w:rsid w:val="00904F2F"/>
    <w:rsid w:val="009114CA"/>
    <w:rsid w:val="009311D7"/>
    <w:rsid w:val="00963F71"/>
    <w:rsid w:val="0097069A"/>
    <w:rsid w:val="00971DBC"/>
    <w:rsid w:val="00973649"/>
    <w:rsid w:val="009838E1"/>
    <w:rsid w:val="00990E7A"/>
    <w:rsid w:val="009920F0"/>
    <w:rsid w:val="009D75BE"/>
    <w:rsid w:val="00A04F8E"/>
    <w:rsid w:val="00A1474D"/>
    <w:rsid w:val="00A226FD"/>
    <w:rsid w:val="00A44679"/>
    <w:rsid w:val="00A647FF"/>
    <w:rsid w:val="00A74A82"/>
    <w:rsid w:val="00A81060"/>
    <w:rsid w:val="00A849B6"/>
    <w:rsid w:val="00A92633"/>
    <w:rsid w:val="00A96990"/>
    <w:rsid w:val="00AC0076"/>
    <w:rsid w:val="00AE10F4"/>
    <w:rsid w:val="00AF1860"/>
    <w:rsid w:val="00AF3439"/>
    <w:rsid w:val="00AF3AB5"/>
    <w:rsid w:val="00B15CF2"/>
    <w:rsid w:val="00B24AC9"/>
    <w:rsid w:val="00B53F1E"/>
    <w:rsid w:val="00B5525F"/>
    <w:rsid w:val="00B67133"/>
    <w:rsid w:val="00B75633"/>
    <w:rsid w:val="00B876B6"/>
    <w:rsid w:val="00BD29C9"/>
    <w:rsid w:val="00BD645B"/>
    <w:rsid w:val="00C05213"/>
    <w:rsid w:val="00C15A8B"/>
    <w:rsid w:val="00C2546F"/>
    <w:rsid w:val="00C36DB4"/>
    <w:rsid w:val="00C37996"/>
    <w:rsid w:val="00C51414"/>
    <w:rsid w:val="00C53C45"/>
    <w:rsid w:val="00C63DB7"/>
    <w:rsid w:val="00C6676B"/>
    <w:rsid w:val="00C81B24"/>
    <w:rsid w:val="00C844B2"/>
    <w:rsid w:val="00C85FE6"/>
    <w:rsid w:val="00C875EA"/>
    <w:rsid w:val="00CB33B2"/>
    <w:rsid w:val="00CB440C"/>
    <w:rsid w:val="00CC18F5"/>
    <w:rsid w:val="00CC7838"/>
    <w:rsid w:val="00CD2363"/>
    <w:rsid w:val="00CD37EB"/>
    <w:rsid w:val="00CF51F7"/>
    <w:rsid w:val="00D06205"/>
    <w:rsid w:val="00D1336B"/>
    <w:rsid w:val="00D208FB"/>
    <w:rsid w:val="00D30736"/>
    <w:rsid w:val="00D32B62"/>
    <w:rsid w:val="00D3325A"/>
    <w:rsid w:val="00D372DE"/>
    <w:rsid w:val="00D61FB5"/>
    <w:rsid w:val="00D67AEB"/>
    <w:rsid w:val="00D70098"/>
    <w:rsid w:val="00D80207"/>
    <w:rsid w:val="00D84701"/>
    <w:rsid w:val="00DD7418"/>
    <w:rsid w:val="00E0016C"/>
    <w:rsid w:val="00E11B9F"/>
    <w:rsid w:val="00E238D3"/>
    <w:rsid w:val="00E34D6C"/>
    <w:rsid w:val="00E35CCF"/>
    <w:rsid w:val="00E41CF4"/>
    <w:rsid w:val="00E54045"/>
    <w:rsid w:val="00E60545"/>
    <w:rsid w:val="00E71DA5"/>
    <w:rsid w:val="00E74050"/>
    <w:rsid w:val="00E760D3"/>
    <w:rsid w:val="00E82465"/>
    <w:rsid w:val="00E8751C"/>
    <w:rsid w:val="00EA5ED8"/>
    <w:rsid w:val="00EB03DB"/>
    <w:rsid w:val="00ED5073"/>
    <w:rsid w:val="00ED765E"/>
    <w:rsid w:val="00EE3275"/>
    <w:rsid w:val="00EF2300"/>
    <w:rsid w:val="00F74726"/>
    <w:rsid w:val="00F852EF"/>
    <w:rsid w:val="00FA23C1"/>
    <w:rsid w:val="00FA2B7B"/>
    <w:rsid w:val="00FA3370"/>
    <w:rsid w:val="00FA51A3"/>
    <w:rsid w:val="00FB08F0"/>
    <w:rsid w:val="00FB426E"/>
    <w:rsid w:val="00FB6C55"/>
    <w:rsid w:val="00FC2BA3"/>
    <w:rsid w:val="00FD7DA2"/>
    <w:rsid w:val="00FF0862"/>
    <w:rsid w:val="00FF47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7443EA9-D342-4BC0-A293-CE7E1A7D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lang w:val="en-GB"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link w:val="Heading2Char"/>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Footer"/>
  </w:style>
  <w:style w:type="paragraph" w:styleId="Footer">
    <w:name w:val="footer"/>
    <w:basedOn w:val="Normal"/>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semiHidden/>
    <w:rsid w:val="006051AA"/>
    <w:pPr>
      <w:spacing w:after="240" w:line="230" w:lineRule="atLeast"/>
    </w:pPr>
    <w:rPr>
      <w:rFonts w:eastAsia="MS Mincho"/>
      <w:sz w:val="20"/>
      <w:lang w:val="de-DE" w:eastAsia="ja-JP"/>
    </w:rPr>
  </w:style>
  <w:style w:type="paragraph" w:customStyle="1" w:styleId="ParagraphText">
    <w:name w:val="Paragraph Text"/>
    <w:basedOn w:val="Normal"/>
    <w:rsid w:val="00866E14"/>
    <w:pPr>
      <w:suppressAutoHyphens/>
      <w:spacing w:before="120"/>
    </w:pPr>
    <w:rPr>
      <w:szCs w:val="24"/>
      <w:lang w:eastAsia="ar-SA"/>
    </w:rPr>
  </w:style>
  <w:style w:type="character" w:styleId="CommentReference">
    <w:name w:val="annotation reference"/>
    <w:rsid w:val="00866E14"/>
    <w:rPr>
      <w:sz w:val="16"/>
      <w:szCs w:val="16"/>
    </w:rPr>
  </w:style>
  <w:style w:type="paragraph" w:styleId="BalloonText">
    <w:name w:val="Balloon Text"/>
    <w:basedOn w:val="Normal"/>
    <w:semiHidden/>
    <w:rsid w:val="00866E14"/>
    <w:rPr>
      <w:rFonts w:ascii="Tahoma" w:hAnsi="Tahoma" w:cs="Tahoma"/>
      <w:sz w:val="16"/>
      <w:szCs w:val="16"/>
    </w:rPr>
  </w:style>
  <w:style w:type="character" w:customStyle="1" w:styleId="eudoraheader">
    <w:name w:val="eudoraheader"/>
    <w:basedOn w:val="DefaultParagraphFont"/>
    <w:rsid w:val="00CD37EB"/>
  </w:style>
  <w:style w:type="character" w:customStyle="1" w:styleId="Heading2Char">
    <w:name w:val="Heading 2 Char"/>
    <w:link w:val="Heading2"/>
    <w:rsid w:val="00CC18F5"/>
    <w:rPr>
      <w:rFonts w:ascii="Arial" w:hAnsi="Arial"/>
      <w:b/>
      <w:sz w:val="22"/>
      <w:lang w:eastAsia="en-US"/>
    </w:rPr>
  </w:style>
  <w:style w:type="paragraph" w:styleId="CommentSubject">
    <w:name w:val="annotation subject"/>
    <w:basedOn w:val="CommentText"/>
    <w:next w:val="CommentText"/>
    <w:link w:val="CommentSubjectChar"/>
    <w:rsid w:val="00441CA2"/>
    <w:pPr>
      <w:spacing w:after="0" w:line="240" w:lineRule="auto"/>
    </w:pPr>
    <w:rPr>
      <w:rFonts w:eastAsia="Times New Roman"/>
      <w:b/>
      <w:bCs/>
      <w:lang w:val="en-GB" w:eastAsia="en-US"/>
    </w:rPr>
  </w:style>
  <w:style w:type="character" w:customStyle="1" w:styleId="CommentTextChar">
    <w:name w:val="Comment Text Char"/>
    <w:link w:val="CommentText"/>
    <w:semiHidden/>
    <w:rsid w:val="00441CA2"/>
    <w:rPr>
      <w:rFonts w:ascii="Arial" w:eastAsia="MS Mincho" w:hAnsi="Arial"/>
      <w:lang w:val="de-DE" w:eastAsia="ja-JP"/>
    </w:rPr>
  </w:style>
  <w:style w:type="character" w:customStyle="1" w:styleId="CommentSubjectChar">
    <w:name w:val="Comment Subject Char"/>
    <w:link w:val="CommentSubject"/>
    <w:rsid w:val="00441CA2"/>
    <w:rPr>
      <w:rFonts w:ascii="Arial" w:eastAsia="MS Mincho" w:hAnsi="Arial"/>
      <w:b/>
      <w:bC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2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commentmd1template.dot</Template>
  <TotalTime>0</TotalTime>
  <Pages>2</Pages>
  <Words>388</Words>
  <Characters>2212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CommentsOn</vt:lpstr>
      <vt:lpstr>CommentsOn</vt:lpstr>
    </vt:vector>
  </TitlesOfParts>
  <Company>ISO</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Yong</cp:lastModifiedBy>
  <cp:revision>2</cp:revision>
  <cp:lastPrinted>2007-12-10T09:00:00Z</cp:lastPrinted>
  <dcterms:created xsi:type="dcterms:W3CDTF">2022-01-07T10:34:00Z</dcterms:created>
  <dcterms:modified xsi:type="dcterms:W3CDTF">2022-01-07T10:34:00Z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