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06" w:rsidRPr="00892E93" w:rsidRDefault="00497221" w:rsidP="00497221">
      <w:pPr>
        <w:tabs>
          <w:tab w:val="left" w:pos="1788"/>
        </w:tabs>
        <w:jc w:val="right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lang w:val="fr-FR"/>
        </w:rPr>
        <w:tab/>
      </w:r>
      <w:r w:rsidR="00225CB1">
        <w:rPr>
          <w:rFonts w:ascii="Arial Narrow" w:hAnsi="Arial Narrow"/>
          <w:b/>
          <w:sz w:val="22"/>
          <w:szCs w:val="22"/>
          <w:bdr w:val="single" w:sz="4" w:space="0" w:color="auto"/>
        </w:rPr>
        <w:t>S</w:t>
      </w:r>
      <w:r w:rsidR="00BB369B">
        <w:rPr>
          <w:rFonts w:ascii="Arial Narrow" w:hAnsi="Arial Narrow"/>
          <w:b/>
          <w:sz w:val="22"/>
          <w:szCs w:val="22"/>
          <w:bdr w:val="single" w:sz="4" w:space="0" w:color="auto"/>
        </w:rPr>
        <w:t>-</w:t>
      </w:r>
      <w:r w:rsidR="00225CB1">
        <w:rPr>
          <w:rFonts w:ascii="Arial Narrow" w:hAnsi="Arial Narrow"/>
          <w:b/>
          <w:sz w:val="22"/>
          <w:szCs w:val="22"/>
          <w:bdr w:val="single" w:sz="4" w:space="0" w:color="auto"/>
        </w:rPr>
        <w:t>101PT3</w:t>
      </w:r>
      <w:r w:rsidR="00B843E4">
        <w:rPr>
          <w:rFonts w:ascii="Arial Narrow" w:hAnsi="Arial Narrow"/>
          <w:b/>
          <w:sz w:val="22"/>
          <w:szCs w:val="22"/>
          <w:bdr w:val="single" w:sz="4" w:space="0" w:color="auto"/>
        </w:rPr>
        <w:t>-5.1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225CB1">
        <w:rPr>
          <w:szCs w:val="22"/>
        </w:rPr>
        <w:t>S</w:t>
      </w:r>
      <w:r w:rsidR="00BB369B">
        <w:rPr>
          <w:szCs w:val="22"/>
        </w:rPr>
        <w:t>-</w:t>
      </w:r>
      <w:r w:rsidR="00225CB1">
        <w:rPr>
          <w:szCs w:val="22"/>
        </w:rPr>
        <w:t>101PT3</w:t>
      </w:r>
    </w:p>
    <w:p w:rsidR="004F5A06" w:rsidRPr="00F543C9" w:rsidRDefault="006A742D" w:rsidP="004F5A06">
      <w:pPr>
        <w:pStyle w:val="Heading2"/>
        <w:jc w:val="center"/>
        <w:rPr>
          <w:szCs w:val="22"/>
        </w:rPr>
      </w:pPr>
      <w:r>
        <w:rPr>
          <w:szCs w:val="22"/>
        </w:rPr>
        <w:t>M_CSCL</w:t>
      </w:r>
      <w:r w:rsidR="00225CB1">
        <w:rPr>
          <w:szCs w:val="22"/>
        </w:rPr>
        <w:t xml:space="preserve"> and </w:t>
      </w:r>
      <w:proofErr w:type="spellStart"/>
      <w:r w:rsidR="00225CB1">
        <w:rPr>
          <w:szCs w:val="22"/>
        </w:rPr>
        <w:t>DataCoverage</w:t>
      </w:r>
      <w:proofErr w:type="spellEnd"/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F543C9" w:rsidRDefault="00497221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Australian Hydrographic </w:t>
            </w:r>
            <w:r w:rsidR="006A742D">
              <w:rPr>
                <w:rFonts w:ascii="Arial Narrow" w:hAnsi="Arial Narrow"/>
                <w:sz w:val="22"/>
                <w:szCs w:val="22"/>
                <w:lang w:val="en-AU"/>
              </w:rPr>
              <w:t>Office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F543C9" w:rsidRDefault="00B0554C" w:rsidP="00225CB1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Amend the S-101 DCEG</w:t>
            </w:r>
            <w:r w:rsidR="00225CB1">
              <w:rPr>
                <w:rFonts w:ascii="Arial Narrow" w:hAnsi="Arial Narrow"/>
                <w:sz w:val="22"/>
                <w:szCs w:val="22"/>
                <w:lang w:val="en-AU"/>
              </w:rPr>
              <w:t xml:space="preserve"> regarding the maximum number of </w:t>
            </w:r>
            <w:proofErr w:type="spellStart"/>
            <w:r w:rsidR="00225CB1">
              <w:rPr>
                <w:rFonts w:ascii="Arial Narrow" w:hAnsi="Arial Narrow"/>
                <w:sz w:val="22"/>
                <w:szCs w:val="22"/>
                <w:lang w:val="en-AU"/>
              </w:rPr>
              <w:t>DataCoverage</w:t>
            </w:r>
            <w:proofErr w:type="spellEnd"/>
            <w:r w:rsidR="00225CB1">
              <w:rPr>
                <w:rFonts w:ascii="Arial Narrow" w:hAnsi="Arial Narrow"/>
                <w:sz w:val="22"/>
                <w:szCs w:val="22"/>
                <w:lang w:val="en-AU"/>
              </w:rPr>
              <w:t xml:space="preserve"> features.</w:t>
            </w:r>
            <w:r w:rsidR="006A742D">
              <w:rPr>
                <w:rFonts w:ascii="Arial Narrow" w:hAnsi="Arial Narrow"/>
                <w:sz w:val="22"/>
                <w:szCs w:val="22"/>
                <w:lang w:val="en-AU"/>
              </w:rPr>
              <w:t xml:space="preserve"> 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Pr="00F543C9" w:rsidRDefault="00A52A2A" w:rsidP="00676D4C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S-57 Appendix B.1 Annex A (UOC) </w:t>
            </w:r>
            <w:r w:rsidR="00F53684">
              <w:rPr>
                <w:rFonts w:ascii="Arial Narrow" w:hAnsi="Arial Narrow"/>
                <w:sz w:val="22"/>
                <w:szCs w:val="22"/>
                <w:lang w:val="en-AU"/>
              </w:rPr>
              <w:t xml:space="preserve">clause 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2.2.6, </w:t>
            </w:r>
            <w:r w:rsidR="00B47575" w:rsidRPr="00012508">
              <w:rPr>
                <w:rFonts w:ascii="Arial Narrow" w:hAnsi="Arial Narrow"/>
                <w:sz w:val="22"/>
                <w:szCs w:val="22"/>
              </w:rPr>
              <w:t xml:space="preserve">S-101 </w:t>
            </w:r>
            <w:r w:rsidR="001B2AE4">
              <w:rPr>
                <w:rFonts w:ascii="Arial Narrow" w:hAnsi="Arial Narrow"/>
                <w:sz w:val="22"/>
                <w:szCs w:val="22"/>
              </w:rPr>
              <w:t>Appendix A (</w:t>
            </w:r>
            <w:r w:rsidR="00B47575" w:rsidRPr="00012508">
              <w:rPr>
                <w:rFonts w:ascii="Arial Narrow" w:hAnsi="Arial Narrow"/>
                <w:sz w:val="22"/>
                <w:szCs w:val="22"/>
              </w:rPr>
              <w:t>DCEG</w:t>
            </w:r>
            <w:r w:rsidR="001B2AE4">
              <w:rPr>
                <w:rFonts w:ascii="Arial Narrow" w:hAnsi="Arial Narrow"/>
                <w:sz w:val="22"/>
                <w:szCs w:val="22"/>
              </w:rPr>
              <w:t>)</w:t>
            </w:r>
            <w:r w:rsidR="00012508" w:rsidRPr="00012508">
              <w:rPr>
                <w:rFonts w:ascii="Arial Narrow" w:hAnsi="Arial Narrow"/>
                <w:sz w:val="22"/>
                <w:szCs w:val="22"/>
              </w:rPr>
              <w:t>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</w:p>
        </w:tc>
      </w:tr>
    </w:tbl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Introduction / Background</w:t>
      </w:r>
      <w:bookmarkStart w:id="0" w:name="_GoBack"/>
      <w:bookmarkEnd w:id="0"/>
    </w:p>
    <w:p w:rsidR="00B0554C" w:rsidRPr="00E96A82" w:rsidRDefault="00B0554C" w:rsidP="00B0554C">
      <w:pPr>
        <w:spacing w:before="120"/>
        <w:rPr>
          <w:rFonts w:ascii="Arial Narrow" w:hAnsi="Arial Narrow"/>
          <w:sz w:val="22"/>
          <w:szCs w:val="22"/>
          <w:lang w:val="en-AU"/>
        </w:rPr>
      </w:pPr>
      <w:r w:rsidRPr="00E96A82">
        <w:rPr>
          <w:rFonts w:ascii="Arial Narrow" w:hAnsi="Arial Narrow"/>
          <w:sz w:val="22"/>
          <w:szCs w:val="22"/>
          <w:lang w:val="en-AU"/>
        </w:rPr>
        <w:t>As mariners become more familiar with ECDIS and its use, especially in restricted areas, it became clear that traditional bathymetric compilation practices, aimed to represent depths on a ‘static’ product like paper charts, are insufficient to support the full potential digital navigation brings to the bridge of modern vessels.</w:t>
      </w:r>
    </w:p>
    <w:p w:rsidR="009F2169" w:rsidRDefault="00B0554C" w:rsidP="00B0554C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Based on this, i</w:t>
      </w:r>
      <w:r w:rsidR="009F2169">
        <w:rPr>
          <w:rFonts w:ascii="Arial Narrow" w:hAnsi="Arial Narrow"/>
          <w:sz w:val="22"/>
          <w:szCs w:val="22"/>
          <w:lang w:val="en-AU"/>
        </w:rPr>
        <w:t xml:space="preserve">t is </w:t>
      </w:r>
      <w:r w:rsidR="009F2169" w:rsidRPr="00E96A82">
        <w:rPr>
          <w:rFonts w:ascii="Arial Narrow" w:hAnsi="Arial Narrow"/>
          <w:sz w:val="22"/>
          <w:szCs w:val="22"/>
          <w:lang w:val="en-AU"/>
        </w:rPr>
        <w:t>AH</w:t>
      </w:r>
      <w:r w:rsidR="009F2169">
        <w:rPr>
          <w:rFonts w:ascii="Arial Narrow" w:hAnsi="Arial Narrow"/>
          <w:sz w:val="22"/>
          <w:szCs w:val="22"/>
          <w:lang w:val="en-AU"/>
        </w:rPr>
        <w:t>O’s standard practice to encode multiple compilation scale areas (M_CSCL) within the same navigational purpose ENC product. This is mainly done</w:t>
      </w:r>
      <w:r w:rsidR="009F2169" w:rsidRPr="00E96A82">
        <w:rPr>
          <w:rFonts w:ascii="Arial Narrow" w:hAnsi="Arial Narrow"/>
          <w:sz w:val="22"/>
          <w:szCs w:val="22"/>
          <w:lang w:val="en-AU"/>
        </w:rPr>
        <w:t xml:space="preserve"> in approaches to port and along main traffic areas. The intention is to provide mariners with a smooth transition, from waiting (anchorage) areas to berth by connecting these ends by a series of M_CSCL areas with stepped compilation scales based on selectable radar ranges as recommended by the IHO.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Analysis/Discussion</w:t>
      </w:r>
    </w:p>
    <w:p w:rsidR="00402E63" w:rsidRDefault="00402E63" w:rsidP="00B0554C">
      <w:pPr>
        <w:spacing w:before="120"/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Current chart compilation practices by an increasing number of HOs are supporting the ‘ENC first’ concept. This means charts are compiled to serve the purpose and </w:t>
      </w:r>
      <w:r w:rsidR="009E0692">
        <w:rPr>
          <w:rFonts w:ascii="Arial Narrow" w:hAnsi="Arial Narrow"/>
          <w:sz w:val="22"/>
          <w:szCs w:val="22"/>
          <w:lang w:val="en-AU"/>
        </w:rPr>
        <w:t>display characteristics</w:t>
      </w:r>
      <w:r>
        <w:rPr>
          <w:rFonts w:ascii="Arial Narrow" w:hAnsi="Arial Narrow"/>
          <w:sz w:val="22"/>
          <w:szCs w:val="22"/>
          <w:lang w:val="en-AU"/>
        </w:rPr>
        <w:t xml:space="preserve"> of ENCs and not paper charts’. </w:t>
      </w:r>
    </w:p>
    <w:p w:rsidR="00402E63" w:rsidRDefault="00402E63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One of the benefits of electronic navigation is the interaction between </w:t>
      </w:r>
      <w:r w:rsidR="009C1B65">
        <w:rPr>
          <w:rFonts w:ascii="Arial Narrow" w:hAnsi="Arial Narrow"/>
          <w:sz w:val="22"/>
          <w:szCs w:val="22"/>
          <w:lang w:val="en-AU"/>
        </w:rPr>
        <w:t xml:space="preserve">a </w:t>
      </w:r>
      <w:r>
        <w:rPr>
          <w:rFonts w:ascii="Arial Narrow" w:hAnsi="Arial Narrow"/>
          <w:sz w:val="22"/>
          <w:szCs w:val="22"/>
          <w:lang w:val="en-AU"/>
        </w:rPr>
        <w:t xml:space="preserve">ship’s position (obtained from GNSS) and the information encoded in </w:t>
      </w:r>
      <w:r w:rsidR="006A4F32">
        <w:rPr>
          <w:rFonts w:ascii="Arial Narrow" w:hAnsi="Arial Narrow"/>
          <w:sz w:val="22"/>
          <w:szCs w:val="22"/>
          <w:lang w:val="en-AU"/>
        </w:rPr>
        <w:t xml:space="preserve">the </w:t>
      </w:r>
      <w:r>
        <w:rPr>
          <w:rFonts w:ascii="Arial Narrow" w:hAnsi="Arial Narrow"/>
          <w:sz w:val="22"/>
          <w:szCs w:val="22"/>
          <w:lang w:val="en-AU"/>
        </w:rPr>
        <w:t>charts (e.g. ENCs).</w:t>
      </w:r>
      <w:r w:rsidR="00C177EF">
        <w:rPr>
          <w:rFonts w:ascii="Arial Narrow" w:hAnsi="Arial Narrow"/>
          <w:sz w:val="22"/>
          <w:szCs w:val="22"/>
          <w:lang w:val="en-AU"/>
        </w:rPr>
        <w:t xml:space="preserve"> It’s possible to set ECDIS to automatically ’zoom in’ when larger compilation scale data is available. This can be the consequence of the existence of a larger scale product or a larger compilation sca</w:t>
      </w:r>
      <w:r w:rsidR="00B47575">
        <w:rPr>
          <w:rFonts w:ascii="Arial Narrow" w:hAnsi="Arial Narrow"/>
          <w:sz w:val="22"/>
          <w:szCs w:val="22"/>
          <w:lang w:val="en-AU"/>
        </w:rPr>
        <w:t>le area within the same product</w:t>
      </w:r>
      <w:r w:rsidR="00C177EF">
        <w:rPr>
          <w:rFonts w:ascii="Arial Narrow" w:hAnsi="Arial Narrow"/>
          <w:sz w:val="22"/>
          <w:szCs w:val="22"/>
          <w:lang w:val="en-AU"/>
        </w:rPr>
        <w:t xml:space="preserve"> (M_CSCL).</w:t>
      </w:r>
    </w:p>
    <w:p w:rsidR="00C177EF" w:rsidRDefault="00C177EF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At the AH</w:t>
      </w:r>
      <w:r w:rsidR="00730328">
        <w:rPr>
          <w:rFonts w:ascii="Arial Narrow" w:hAnsi="Arial Narrow"/>
          <w:sz w:val="22"/>
          <w:szCs w:val="22"/>
          <w:lang w:val="en-AU"/>
        </w:rPr>
        <w:t>O</w:t>
      </w:r>
      <w:r>
        <w:rPr>
          <w:rFonts w:ascii="Arial Narrow" w:hAnsi="Arial Narrow"/>
          <w:sz w:val="22"/>
          <w:szCs w:val="22"/>
          <w:lang w:val="en-AU"/>
        </w:rPr>
        <w:t xml:space="preserve"> we have been using multiple compilation scales areas within the same product since a </w:t>
      </w:r>
      <w:r w:rsidR="009C1B65">
        <w:rPr>
          <w:rFonts w:ascii="Arial Narrow" w:hAnsi="Arial Narrow"/>
          <w:sz w:val="22"/>
          <w:szCs w:val="22"/>
          <w:lang w:val="en-AU"/>
        </w:rPr>
        <w:t>‘tiled’</w:t>
      </w:r>
      <w:r>
        <w:rPr>
          <w:rFonts w:ascii="Arial Narrow" w:hAnsi="Arial Narrow"/>
          <w:sz w:val="22"/>
          <w:szCs w:val="22"/>
          <w:lang w:val="en-AU"/>
        </w:rPr>
        <w:t xml:space="preserve"> product sche</w:t>
      </w:r>
      <w:r w:rsidR="00874B3A">
        <w:rPr>
          <w:rFonts w:ascii="Arial Narrow" w:hAnsi="Arial Narrow"/>
          <w:sz w:val="22"/>
          <w:szCs w:val="22"/>
          <w:lang w:val="en-AU"/>
        </w:rPr>
        <w:t xml:space="preserve">me was implemented for the NP 1 to </w:t>
      </w:r>
      <w:r>
        <w:rPr>
          <w:rFonts w:ascii="Arial Narrow" w:hAnsi="Arial Narrow"/>
          <w:sz w:val="22"/>
          <w:szCs w:val="22"/>
          <w:lang w:val="en-AU"/>
        </w:rPr>
        <w:t xml:space="preserve">4 ENCs back </w:t>
      </w:r>
      <w:r w:rsidRPr="004B61A7">
        <w:rPr>
          <w:rFonts w:ascii="Arial Narrow" w:hAnsi="Arial Narrow"/>
          <w:sz w:val="22"/>
          <w:szCs w:val="22"/>
          <w:lang w:val="en-AU"/>
        </w:rPr>
        <w:t xml:space="preserve">in </w:t>
      </w:r>
      <w:r w:rsidR="004B61A7" w:rsidRPr="004B61A7">
        <w:rPr>
          <w:rFonts w:ascii="Arial Narrow" w:hAnsi="Arial Narrow"/>
          <w:sz w:val="22"/>
          <w:szCs w:val="22"/>
          <w:lang w:val="en-AU"/>
        </w:rPr>
        <w:t>the early 2000’s</w:t>
      </w:r>
      <w:r w:rsidRPr="004B61A7">
        <w:rPr>
          <w:rFonts w:ascii="Arial Narrow" w:hAnsi="Arial Narrow"/>
          <w:sz w:val="22"/>
          <w:szCs w:val="22"/>
          <w:lang w:val="en-AU"/>
        </w:rPr>
        <w:t>.</w:t>
      </w:r>
    </w:p>
    <w:p w:rsidR="00874B3A" w:rsidRDefault="00874B3A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At that time ENCs were derived from the </w:t>
      </w:r>
      <w:r w:rsidR="00B041E5">
        <w:rPr>
          <w:rFonts w:ascii="Arial Narrow" w:hAnsi="Arial Narrow"/>
          <w:sz w:val="22"/>
          <w:szCs w:val="22"/>
          <w:lang w:val="en-AU"/>
        </w:rPr>
        <w:t>existing</w:t>
      </w:r>
      <w:r>
        <w:rPr>
          <w:rFonts w:ascii="Arial Narrow" w:hAnsi="Arial Narrow"/>
          <w:sz w:val="22"/>
          <w:szCs w:val="22"/>
          <w:lang w:val="en-AU"/>
        </w:rPr>
        <w:t xml:space="preserve"> portfolio of paper charts and each ENC tile was made of the largest scale products available</w:t>
      </w:r>
      <w:r w:rsidR="00B47575">
        <w:rPr>
          <w:rFonts w:ascii="Arial Narrow" w:hAnsi="Arial Narrow"/>
          <w:sz w:val="22"/>
          <w:szCs w:val="22"/>
          <w:lang w:val="en-AU"/>
        </w:rPr>
        <w:t>. For example</w:t>
      </w:r>
      <w:r>
        <w:rPr>
          <w:rFonts w:ascii="Arial Narrow" w:hAnsi="Arial Narrow"/>
          <w:sz w:val="22"/>
          <w:szCs w:val="22"/>
          <w:lang w:val="en-AU"/>
        </w:rPr>
        <w:t xml:space="preserve"> AU4</w:t>
      </w:r>
      <w:r w:rsidR="00425CB7">
        <w:rPr>
          <w:rFonts w:ascii="Arial Narrow" w:hAnsi="Arial Narrow"/>
          <w:sz w:val="22"/>
          <w:szCs w:val="22"/>
          <w:lang w:val="en-AU"/>
        </w:rPr>
        <w:t>11142</w:t>
      </w:r>
      <w:r>
        <w:rPr>
          <w:rFonts w:ascii="Arial Narrow" w:hAnsi="Arial Narrow"/>
          <w:sz w:val="22"/>
          <w:szCs w:val="22"/>
          <w:lang w:val="en-AU"/>
        </w:rPr>
        <w:t xml:space="preserve"> contain</w:t>
      </w:r>
      <w:r w:rsidR="00425CB7">
        <w:rPr>
          <w:rFonts w:ascii="Arial Narrow" w:hAnsi="Arial Narrow"/>
          <w:sz w:val="22"/>
          <w:szCs w:val="22"/>
          <w:lang w:val="en-AU"/>
        </w:rPr>
        <w:t>s the data shown in 37500, 75000 and</w:t>
      </w:r>
      <w:r w:rsidR="00B47575">
        <w:rPr>
          <w:rFonts w:ascii="Arial Narrow" w:hAnsi="Arial Narrow"/>
          <w:sz w:val="22"/>
          <w:szCs w:val="22"/>
          <w:lang w:val="en-AU"/>
        </w:rPr>
        <w:t xml:space="preserve"> 150000 paper charts</w:t>
      </w:r>
      <w:r w:rsidR="00425CB7">
        <w:rPr>
          <w:rFonts w:ascii="Arial Narrow" w:hAnsi="Arial Narrow"/>
          <w:sz w:val="22"/>
          <w:szCs w:val="22"/>
          <w:lang w:val="en-AU"/>
        </w:rPr>
        <w:t xml:space="preserve"> </w:t>
      </w:r>
      <w:r w:rsidR="00B47575">
        <w:rPr>
          <w:rFonts w:ascii="Arial Narrow" w:hAnsi="Arial Narrow"/>
          <w:sz w:val="22"/>
          <w:szCs w:val="22"/>
          <w:lang w:val="en-AU"/>
        </w:rPr>
        <w:t>and its</w:t>
      </w:r>
      <w:r w:rsidR="00425CB7">
        <w:rPr>
          <w:rFonts w:ascii="Arial Narrow" w:hAnsi="Arial Narrow"/>
          <w:sz w:val="22"/>
          <w:szCs w:val="22"/>
          <w:lang w:val="en-AU"/>
        </w:rPr>
        <w:t xml:space="preserve"> compilation scale </w:t>
      </w:r>
      <w:r w:rsidR="00B41051">
        <w:rPr>
          <w:rFonts w:ascii="Arial Narrow" w:hAnsi="Arial Narrow"/>
          <w:sz w:val="22"/>
          <w:szCs w:val="22"/>
          <w:lang w:val="en-AU"/>
        </w:rPr>
        <w:t>(CSCL)</w:t>
      </w:r>
      <w:r w:rsidR="00425CB7">
        <w:rPr>
          <w:rFonts w:ascii="Arial Narrow" w:hAnsi="Arial Narrow"/>
          <w:sz w:val="22"/>
          <w:szCs w:val="22"/>
          <w:lang w:val="en-AU"/>
        </w:rPr>
        <w:t xml:space="preserve"> </w:t>
      </w:r>
      <w:r w:rsidR="00B41051">
        <w:rPr>
          <w:rFonts w:ascii="Arial Narrow" w:hAnsi="Arial Narrow"/>
          <w:sz w:val="22"/>
          <w:szCs w:val="22"/>
          <w:lang w:val="en-AU"/>
        </w:rPr>
        <w:t>was</w:t>
      </w:r>
      <w:r w:rsidR="00425CB7">
        <w:rPr>
          <w:rFonts w:ascii="Arial Narrow" w:hAnsi="Arial Narrow"/>
          <w:sz w:val="22"/>
          <w:szCs w:val="22"/>
          <w:lang w:val="en-AU"/>
        </w:rPr>
        <w:t xml:space="preserve"> selected from the smallest scale paper chart included in the puzzle and based on the IHO recommended ‘radar ranges’ values</w:t>
      </w:r>
      <w:r w:rsidR="00B47575">
        <w:rPr>
          <w:rFonts w:ascii="Arial Narrow" w:hAnsi="Arial Narrow"/>
          <w:sz w:val="22"/>
          <w:szCs w:val="22"/>
          <w:lang w:val="en-AU"/>
        </w:rPr>
        <w:t xml:space="preserve"> (90000 for a 150k paper chart)</w:t>
      </w:r>
      <w:r w:rsidR="00425CB7">
        <w:rPr>
          <w:rFonts w:ascii="Arial Narrow" w:hAnsi="Arial Narrow"/>
          <w:sz w:val="22"/>
          <w:szCs w:val="22"/>
          <w:lang w:val="en-AU"/>
        </w:rPr>
        <w:t>.</w:t>
      </w:r>
      <w:r w:rsidR="00115131" w:rsidRPr="00115131">
        <w:rPr>
          <w:b/>
          <w:szCs w:val="22"/>
        </w:rPr>
        <w:t xml:space="preserve"> </w:t>
      </w:r>
      <w:r w:rsidR="00115131" w:rsidRPr="00115131">
        <w:rPr>
          <w:rFonts w:ascii="Arial Narrow" w:hAnsi="Arial Narrow"/>
          <w:sz w:val="22"/>
          <w:szCs w:val="22"/>
          <w:lang w:val="en-AU"/>
        </w:rPr>
        <w:t>Please notice that a ‘non-standard’ CSCL value of 18000 was also selected as the best scale range for the data sourced from a 37500 paper chart.</w:t>
      </w:r>
    </w:p>
    <w:p w:rsidR="00874B3A" w:rsidRDefault="00497221" w:rsidP="00497221">
      <w:pPr>
        <w:jc w:val="center"/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noProof/>
          <w:sz w:val="22"/>
          <w:szCs w:val="22"/>
          <w:lang w:val="en-GB" w:eastAsia="en-GB"/>
        </w:rPr>
        <w:drawing>
          <wp:inline distT="0" distB="0" distL="0" distR="0" wp14:anchorId="30678643" wp14:editId="0E96969A">
            <wp:extent cx="2705100" cy="2611202"/>
            <wp:effectExtent l="0" t="0" r="0" b="0"/>
            <wp:docPr id="1" name="Picture 1" descr="C:\Users\alvaro.sanchez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.sanchez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60" cy="26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4A" w:rsidRDefault="00B41051" w:rsidP="00115131">
      <w:pPr>
        <w:pStyle w:val="Heading2"/>
        <w:rPr>
          <w:szCs w:val="22"/>
        </w:rPr>
      </w:pPr>
      <w:r>
        <w:rPr>
          <w:b w:val="0"/>
          <w:szCs w:val="22"/>
        </w:rPr>
        <w:lastRenderedPageBreak/>
        <w:t>In the last 5 years or so</w:t>
      </w:r>
      <w:r w:rsidR="00AF2514">
        <w:rPr>
          <w:b w:val="0"/>
          <w:szCs w:val="22"/>
        </w:rPr>
        <w:t xml:space="preserve"> the AH</w:t>
      </w:r>
      <w:r w:rsidR="00730328">
        <w:rPr>
          <w:b w:val="0"/>
          <w:szCs w:val="22"/>
        </w:rPr>
        <w:t>O</w:t>
      </w:r>
      <w:r w:rsidR="00AF2514">
        <w:rPr>
          <w:b w:val="0"/>
          <w:szCs w:val="22"/>
        </w:rPr>
        <w:t xml:space="preserve"> started to include larger compilation scale areas in </w:t>
      </w:r>
      <w:r w:rsidR="00D9601F">
        <w:rPr>
          <w:b w:val="0"/>
          <w:szCs w:val="22"/>
        </w:rPr>
        <w:t xml:space="preserve">some </w:t>
      </w:r>
      <w:r w:rsidR="00AF2514">
        <w:rPr>
          <w:b w:val="0"/>
          <w:szCs w:val="22"/>
        </w:rPr>
        <w:t xml:space="preserve">ENCs (AU5 </w:t>
      </w:r>
      <w:r w:rsidR="00D9601F">
        <w:rPr>
          <w:b w:val="0"/>
          <w:szCs w:val="22"/>
        </w:rPr>
        <w:t>and AU4</w:t>
      </w:r>
      <w:r w:rsidR="00AF2514">
        <w:rPr>
          <w:b w:val="0"/>
          <w:szCs w:val="22"/>
        </w:rPr>
        <w:t xml:space="preserve">) to improve electronic navigation using ECDIS without any direct impact on paper charts. An example of this can be seen in the image above where a 1:22000 M_CSCL was created along the TWR up in Torres Strait (Great Barrier Reef). This area includes more soundings and detailed standard contours and gives more room </w:t>
      </w:r>
      <w:r w:rsidR="00497221">
        <w:rPr>
          <w:b w:val="0"/>
          <w:szCs w:val="22"/>
        </w:rPr>
        <w:t>for</w:t>
      </w:r>
      <w:r w:rsidR="00AF2514">
        <w:rPr>
          <w:b w:val="0"/>
          <w:szCs w:val="22"/>
        </w:rPr>
        <w:t xml:space="preserve"> ships to visualize crossings, etc.</w:t>
      </w:r>
    </w:p>
    <w:p w:rsidR="00126892" w:rsidRDefault="00E355E5" w:rsidP="00B84FD9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Please notice that some o</w:t>
      </w:r>
      <w:r w:rsidR="00126892">
        <w:rPr>
          <w:rFonts w:ascii="Arial Narrow" w:hAnsi="Arial Narrow"/>
          <w:sz w:val="22"/>
          <w:szCs w:val="22"/>
          <w:lang w:val="en-AU"/>
        </w:rPr>
        <w:t xml:space="preserve">ther countries such as the US (NOAA) have encoded some ENCs with M_CSCL features at a </w:t>
      </w:r>
      <w:r w:rsidR="00126892" w:rsidRPr="00E355E5">
        <w:rPr>
          <w:rFonts w:ascii="Arial Narrow" w:hAnsi="Arial Narrow"/>
          <w:sz w:val="22"/>
          <w:szCs w:val="22"/>
          <w:u w:val="single"/>
          <w:lang w:val="en-AU"/>
        </w:rPr>
        <w:t>smaller</w:t>
      </w:r>
      <w:r w:rsidR="00126892">
        <w:rPr>
          <w:rFonts w:ascii="Arial Narrow" w:hAnsi="Arial Narrow"/>
          <w:sz w:val="22"/>
          <w:szCs w:val="22"/>
          <w:lang w:val="en-AU"/>
        </w:rPr>
        <w:t xml:space="preserve"> scale than the CSCL value of the ENC.</w:t>
      </w:r>
    </w:p>
    <w:p w:rsidR="001A2329" w:rsidRDefault="001A2329" w:rsidP="00B84FD9">
      <w:pPr>
        <w:rPr>
          <w:rFonts w:ascii="Arial Narrow" w:hAnsi="Arial Narrow"/>
          <w:sz w:val="22"/>
          <w:szCs w:val="22"/>
          <w:lang w:val="en-AU"/>
        </w:rPr>
      </w:pPr>
    </w:p>
    <w:p w:rsidR="001A2329" w:rsidRDefault="00770538" w:rsidP="00B84FD9">
      <w:pPr>
        <w:rPr>
          <w:rFonts w:ascii="Arial Narrow" w:hAnsi="Arial Narrow"/>
          <w:sz w:val="22"/>
          <w:szCs w:val="22"/>
          <w:lang w:val="en-AU"/>
        </w:rPr>
      </w:pPr>
      <w:r w:rsidRPr="001A2329">
        <w:rPr>
          <w:rFonts w:ascii="Arial Narrow" w:hAnsi="Arial Narrow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B1071" wp14:editId="1BB29D2A">
                <wp:simplePos x="0" y="0"/>
                <wp:positionH relativeFrom="column">
                  <wp:posOffset>3656965</wp:posOffset>
                </wp:positionH>
                <wp:positionV relativeFrom="paragraph">
                  <wp:posOffset>572135</wp:posOffset>
                </wp:positionV>
                <wp:extent cx="1104900" cy="1403985"/>
                <wp:effectExtent l="0" t="0" r="1905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329" w:rsidRPr="00276B37" w:rsidRDefault="001A2329" w:rsidP="001A2329">
                            <w:pPr>
                              <w:rPr>
                                <w:color w:val="984806" w:themeColor="accent6" w:themeShade="80"/>
                                <w:sz w:val="18"/>
                                <w:szCs w:val="18"/>
                              </w:rPr>
                            </w:pPr>
                            <w:r w:rsidRPr="00276B37">
                              <w:rPr>
                                <w:color w:val="984806" w:themeColor="accent6" w:themeShade="80"/>
                                <w:sz w:val="18"/>
                                <w:szCs w:val="18"/>
                              </w:rPr>
                              <w:t>M_CSCL</w:t>
                            </w:r>
                            <w:r w:rsidRPr="00276B37">
                              <w:rPr>
                                <w:color w:val="984806" w:themeColor="accent6" w:themeShade="80"/>
                                <w:sz w:val="18"/>
                                <w:szCs w:val="18"/>
                              </w:rPr>
                              <w:br/>
                              <w:t>C</w:t>
                            </w:r>
                            <w:r w:rsidR="00770538">
                              <w:rPr>
                                <w:color w:val="984806" w:themeColor="accent6" w:themeShade="80"/>
                                <w:sz w:val="18"/>
                                <w:szCs w:val="18"/>
                              </w:rPr>
                              <w:t>SCALE</w:t>
                            </w:r>
                            <w:r w:rsidRPr="00276B37">
                              <w:rPr>
                                <w:color w:val="984806" w:themeColor="accent6" w:themeShade="80"/>
                                <w:sz w:val="18"/>
                                <w:szCs w:val="18"/>
                              </w:rPr>
                              <w:t xml:space="preserve"> = 25000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FB1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95pt;margin-top:45.05pt;width:8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">
                <v:textbox style="mso-fit-shape-to-text:t">
                  <w:txbxContent>
                    <w:p w:rsidR="001A2329" w:rsidRPr="00276B37" w:rsidRDefault="001A2329" w:rsidP="001A2329">
                      <w:pPr>
                        <w:rPr>
                          <w:color w:val="984806" w:themeColor="accent6" w:themeShade="80"/>
                          <w:sz w:val="18"/>
                          <w:szCs w:val="18"/>
                        </w:rPr>
                      </w:pPr>
                      <w:r w:rsidRPr="00276B37">
                        <w:rPr>
                          <w:color w:val="984806" w:themeColor="accent6" w:themeShade="80"/>
                          <w:sz w:val="18"/>
                          <w:szCs w:val="18"/>
                        </w:rPr>
                        <w:t>M_CSCL</w:t>
                      </w:r>
                      <w:r w:rsidRPr="00276B37">
                        <w:rPr>
                          <w:color w:val="984806" w:themeColor="accent6" w:themeShade="80"/>
                          <w:sz w:val="18"/>
                          <w:szCs w:val="18"/>
                        </w:rPr>
                        <w:br/>
                        <w:t>C</w:t>
                      </w:r>
                      <w:r w:rsidR="00770538">
                        <w:rPr>
                          <w:color w:val="984806" w:themeColor="accent6" w:themeShade="80"/>
                          <w:sz w:val="18"/>
                          <w:szCs w:val="18"/>
                        </w:rPr>
                        <w:t>SCALE</w:t>
                      </w:r>
                      <w:r w:rsidRPr="00276B37">
                        <w:rPr>
                          <w:color w:val="984806" w:themeColor="accent6" w:themeShade="80"/>
                          <w:sz w:val="18"/>
                          <w:szCs w:val="18"/>
                        </w:rPr>
                        <w:t xml:space="preserve"> = 25000</w:t>
                      </w:r>
                    </w:p>
                  </w:txbxContent>
                </v:textbox>
              </v:shape>
            </w:pict>
          </mc:Fallback>
        </mc:AlternateContent>
      </w:r>
      <w:r w:rsidR="001A2329" w:rsidRPr="001A2329">
        <w:rPr>
          <w:rFonts w:ascii="Arial Narrow" w:hAnsi="Arial Narrow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90173" wp14:editId="43A96E58">
                <wp:simplePos x="0" y="0"/>
                <wp:positionH relativeFrom="column">
                  <wp:posOffset>1726565</wp:posOffset>
                </wp:positionH>
                <wp:positionV relativeFrom="paragraph">
                  <wp:posOffset>45085</wp:posOffset>
                </wp:positionV>
                <wp:extent cx="1841500" cy="1403985"/>
                <wp:effectExtent l="0" t="0" r="2540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329" w:rsidRPr="001A2329" w:rsidRDefault="00276B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76B37">
                              <w:rPr>
                                <w:b/>
                                <w:sz w:val="22"/>
                                <w:szCs w:val="22"/>
                              </w:rPr>
                              <w:t>US5OR44M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A2329" w:rsidRPr="00276B37">
                              <w:rPr>
                                <w:color w:val="FF0000"/>
                                <w:sz w:val="18"/>
                                <w:szCs w:val="18"/>
                              </w:rPr>
                              <w:t>CSCL</w:t>
                            </w:r>
                            <w:proofErr w:type="gramEnd"/>
                            <w:r w:rsidR="001A2329" w:rsidRPr="00276B3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= 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90173" id="_x0000_s1027" type="#_x0000_t202" style="position:absolute;margin-left:135.95pt;margin-top:3.55pt;width:1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">
                <v:textbox style="mso-fit-shape-to-text:t">
                  <w:txbxContent>
                    <w:p w:rsidR="001A2329" w:rsidRPr="001A2329" w:rsidRDefault="00276B37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76B37">
                        <w:rPr>
                          <w:b/>
                          <w:sz w:val="22"/>
                          <w:szCs w:val="22"/>
                        </w:rPr>
                        <w:t>US5OR44M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1A2329" w:rsidRPr="00276B37">
                        <w:rPr>
                          <w:color w:val="FF0000"/>
                          <w:sz w:val="18"/>
                          <w:szCs w:val="18"/>
                        </w:rPr>
                        <w:t>CSCL</w:t>
                      </w:r>
                      <w:proofErr w:type="gramEnd"/>
                      <w:r w:rsidR="001A2329" w:rsidRPr="00276B37">
                        <w:rPr>
                          <w:color w:val="FF0000"/>
                          <w:sz w:val="18"/>
                          <w:szCs w:val="18"/>
                        </w:rPr>
                        <w:t xml:space="preserve"> = 10000</w:t>
                      </w:r>
                    </w:p>
                  </w:txbxContent>
                </v:textbox>
              </v:shape>
            </w:pict>
          </mc:Fallback>
        </mc:AlternateContent>
      </w:r>
      <w:r w:rsidR="001A2329">
        <w:rPr>
          <w:rFonts w:ascii="Arial Narrow" w:hAnsi="Arial Narrow"/>
          <w:noProof/>
          <w:sz w:val="22"/>
          <w:szCs w:val="22"/>
          <w:lang w:val="en-GB" w:eastAsia="en-GB"/>
        </w:rPr>
        <w:drawing>
          <wp:inline distT="0" distB="0" distL="0" distR="0">
            <wp:extent cx="5768340" cy="23856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29" w:rsidRDefault="001A2329" w:rsidP="00B84FD9">
      <w:pPr>
        <w:rPr>
          <w:rFonts w:ascii="Arial Narrow" w:hAnsi="Arial Narrow"/>
          <w:sz w:val="22"/>
          <w:szCs w:val="22"/>
          <w:lang w:val="en-AU"/>
        </w:rPr>
      </w:pPr>
    </w:p>
    <w:p w:rsidR="009E0692" w:rsidRPr="009E0692" w:rsidRDefault="009E0692" w:rsidP="00C004ED">
      <w:pPr>
        <w:pStyle w:val="Default"/>
        <w:rPr>
          <w:rFonts w:ascii="Arial Narrow" w:hAnsi="Arial Narrow"/>
          <w:b/>
          <w:sz w:val="22"/>
          <w:szCs w:val="22"/>
        </w:rPr>
      </w:pPr>
      <w:r w:rsidRPr="009E0692">
        <w:rPr>
          <w:rFonts w:ascii="Arial Narrow" w:hAnsi="Arial Narrow"/>
          <w:b/>
          <w:sz w:val="22"/>
          <w:szCs w:val="22"/>
        </w:rPr>
        <w:t>S-101 and ‘</w:t>
      </w:r>
      <w:proofErr w:type="spellStart"/>
      <w:r w:rsidRPr="009E0692">
        <w:rPr>
          <w:rFonts w:ascii="Arial Narrow" w:hAnsi="Arial Narrow"/>
          <w:b/>
          <w:sz w:val="22"/>
          <w:szCs w:val="22"/>
        </w:rPr>
        <w:t>DataCoverage</w:t>
      </w:r>
      <w:proofErr w:type="spellEnd"/>
      <w:r w:rsidRPr="009E0692">
        <w:rPr>
          <w:rFonts w:ascii="Arial Narrow" w:hAnsi="Arial Narrow"/>
          <w:b/>
          <w:sz w:val="22"/>
          <w:szCs w:val="22"/>
        </w:rPr>
        <w:t>’:</w:t>
      </w:r>
    </w:p>
    <w:p w:rsidR="009E0692" w:rsidRDefault="0080695A" w:rsidP="009E0692">
      <w:pPr>
        <w:pStyle w:val="Default"/>
        <w:spacing w:before="1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The way ‘</w:t>
      </w:r>
      <w:proofErr w:type="spellStart"/>
      <w:r>
        <w:rPr>
          <w:rFonts w:ascii="Arial Narrow" w:hAnsi="Arial Narrow"/>
          <w:sz w:val="22"/>
          <w:szCs w:val="22"/>
        </w:rPr>
        <w:t>DataCoverage</w:t>
      </w:r>
      <w:proofErr w:type="spellEnd"/>
      <w:r>
        <w:rPr>
          <w:rFonts w:ascii="Arial Narrow" w:hAnsi="Arial Narrow"/>
          <w:sz w:val="22"/>
          <w:szCs w:val="22"/>
        </w:rPr>
        <w:t>’ objects in S-101</w:t>
      </w:r>
      <w:r w:rsidR="003A7F65">
        <w:rPr>
          <w:rFonts w:ascii="Arial Narrow" w:hAnsi="Arial Narrow"/>
          <w:sz w:val="22"/>
          <w:szCs w:val="22"/>
        </w:rPr>
        <w:t xml:space="preserve"> (DCEG </w:t>
      </w:r>
      <w:r w:rsidR="00141B8B">
        <w:rPr>
          <w:rFonts w:ascii="Arial Narrow" w:hAnsi="Arial Narrow"/>
          <w:sz w:val="22"/>
          <w:szCs w:val="22"/>
        </w:rPr>
        <w:t>3.4</w:t>
      </w:r>
      <w:r w:rsidR="003A7F65">
        <w:rPr>
          <w:rFonts w:ascii="Arial Narrow" w:hAnsi="Arial Narrow"/>
          <w:sz w:val="22"/>
          <w:szCs w:val="22"/>
        </w:rPr>
        <w:t>)</w:t>
      </w:r>
      <w:r>
        <w:rPr>
          <w:rFonts w:ascii="Arial Narrow" w:hAnsi="Arial Narrow"/>
          <w:sz w:val="22"/>
          <w:szCs w:val="22"/>
        </w:rPr>
        <w:t xml:space="preserve"> </w:t>
      </w:r>
      <w:r w:rsidR="00497221">
        <w:rPr>
          <w:rFonts w:ascii="Arial Narrow" w:hAnsi="Arial Narrow"/>
          <w:sz w:val="22"/>
          <w:szCs w:val="22"/>
        </w:rPr>
        <w:t xml:space="preserve">function would appear to improve </w:t>
      </w:r>
      <w:r>
        <w:rPr>
          <w:rFonts w:ascii="Arial Narrow" w:hAnsi="Arial Narrow"/>
          <w:sz w:val="22"/>
          <w:szCs w:val="22"/>
        </w:rPr>
        <w:t>and standardise the way different compilation scales are used in the same ENC product</w:t>
      </w:r>
      <w:r w:rsidR="009E0692">
        <w:rPr>
          <w:rFonts w:ascii="Arial Narrow" w:hAnsi="Arial Narrow"/>
          <w:sz w:val="22"/>
          <w:szCs w:val="22"/>
        </w:rPr>
        <w:t>.</w:t>
      </w:r>
      <w:r w:rsidR="009E0692">
        <w:rPr>
          <w:rFonts w:ascii="Arial Narrow" w:hAnsi="Arial Narrow"/>
          <w:sz w:val="22"/>
          <w:szCs w:val="22"/>
        </w:rPr>
        <w:br/>
        <w:t>The attributes ‘</w:t>
      </w:r>
      <w:proofErr w:type="spellStart"/>
      <w:r w:rsidR="009F6498">
        <w:rPr>
          <w:rFonts w:ascii="Arial Narrow" w:hAnsi="Arial Narrow"/>
          <w:sz w:val="22"/>
          <w:szCs w:val="22"/>
        </w:rPr>
        <w:t>m</w:t>
      </w:r>
      <w:r w:rsidR="009E0692">
        <w:rPr>
          <w:rFonts w:ascii="Arial Narrow" w:hAnsi="Arial Narrow"/>
          <w:sz w:val="22"/>
          <w:szCs w:val="22"/>
        </w:rPr>
        <w:t>in</w:t>
      </w:r>
      <w:r w:rsidR="009F6498">
        <w:rPr>
          <w:rFonts w:ascii="Arial Narrow" w:hAnsi="Arial Narrow"/>
          <w:sz w:val="22"/>
          <w:szCs w:val="22"/>
        </w:rPr>
        <w:t>imumDisplayS</w:t>
      </w:r>
      <w:r w:rsidR="009E0692">
        <w:rPr>
          <w:rFonts w:ascii="Arial Narrow" w:hAnsi="Arial Narrow"/>
          <w:sz w:val="22"/>
          <w:szCs w:val="22"/>
        </w:rPr>
        <w:t>cale</w:t>
      </w:r>
      <w:proofErr w:type="spellEnd"/>
      <w:r w:rsidR="009E0692">
        <w:rPr>
          <w:rFonts w:ascii="Arial Narrow" w:hAnsi="Arial Narrow"/>
          <w:sz w:val="22"/>
          <w:szCs w:val="22"/>
        </w:rPr>
        <w:t>’</w:t>
      </w:r>
      <w:r w:rsidR="009F6498">
        <w:rPr>
          <w:rFonts w:ascii="Arial Narrow" w:hAnsi="Arial Narrow"/>
          <w:sz w:val="22"/>
          <w:szCs w:val="22"/>
        </w:rPr>
        <w:t xml:space="preserve"> (</w:t>
      </w:r>
      <w:proofErr w:type="spellStart"/>
      <w:r w:rsidR="009F6498">
        <w:rPr>
          <w:rFonts w:ascii="Arial Narrow" w:hAnsi="Arial Narrow"/>
          <w:sz w:val="22"/>
          <w:szCs w:val="22"/>
        </w:rPr>
        <w:t>minDS</w:t>
      </w:r>
      <w:proofErr w:type="spellEnd"/>
      <w:r w:rsidR="009F6498">
        <w:rPr>
          <w:rFonts w:ascii="Arial Narrow" w:hAnsi="Arial Narrow"/>
          <w:sz w:val="22"/>
          <w:szCs w:val="22"/>
        </w:rPr>
        <w:t xml:space="preserve">) </w:t>
      </w:r>
      <w:r w:rsidR="009E0692">
        <w:rPr>
          <w:rFonts w:ascii="Arial Narrow" w:hAnsi="Arial Narrow"/>
          <w:sz w:val="22"/>
          <w:szCs w:val="22"/>
        </w:rPr>
        <w:t>and ‘</w:t>
      </w:r>
      <w:proofErr w:type="spellStart"/>
      <w:r w:rsidR="009F6498">
        <w:rPr>
          <w:rFonts w:ascii="Arial Narrow" w:hAnsi="Arial Narrow"/>
          <w:sz w:val="22"/>
          <w:szCs w:val="22"/>
        </w:rPr>
        <w:t>m</w:t>
      </w:r>
      <w:r w:rsidR="009E0692">
        <w:rPr>
          <w:rFonts w:ascii="Arial Narrow" w:hAnsi="Arial Narrow"/>
          <w:sz w:val="22"/>
          <w:szCs w:val="22"/>
        </w:rPr>
        <w:t>ax</w:t>
      </w:r>
      <w:r w:rsidR="009F6498">
        <w:rPr>
          <w:rFonts w:ascii="Arial Narrow" w:hAnsi="Arial Narrow"/>
          <w:sz w:val="22"/>
          <w:szCs w:val="22"/>
        </w:rPr>
        <w:t>imumDisplayS</w:t>
      </w:r>
      <w:r w:rsidR="009E0692">
        <w:rPr>
          <w:rFonts w:ascii="Arial Narrow" w:hAnsi="Arial Narrow"/>
          <w:sz w:val="22"/>
          <w:szCs w:val="22"/>
        </w:rPr>
        <w:t>c</w:t>
      </w:r>
      <w:r w:rsidR="009F6498">
        <w:rPr>
          <w:rFonts w:ascii="Arial Narrow" w:hAnsi="Arial Narrow"/>
          <w:sz w:val="22"/>
          <w:szCs w:val="22"/>
        </w:rPr>
        <w:t>a</w:t>
      </w:r>
      <w:r w:rsidR="009E0692">
        <w:rPr>
          <w:rFonts w:ascii="Arial Narrow" w:hAnsi="Arial Narrow"/>
          <w:sz w:val="22"/>
          <w:szCs w:val="22"/>
        </w:rPr>
        <w:t>le</w:t>
      </w:r>
      <w:proofErr w:type="spellEnd"/>
      <w:r w:rsidR="009E0692">
        <w:rPr>
          <w:rFonts w:ascii="Arial Narrow" w:hAnsi="Arial Narrow"/>
          <w:sz w:val="22"/>
          <w:szCs w:val="22"/>
        </w:rPr>
        <w:t>’</w:t>
      </w:r>
      <w:r w:rsidR="009F6498">
        <w:rPr>
          <w:rFonts w:ascii="Arial Narrow" w:hAnsi="Arial Narrow"/>
          <w:sz w:val="22"/>
          <w:szCs w:val="22"/>
        </w:rPr>
        <w:t xml:space="preserve"> (</w:t>
      </w:r>
      <w:proofErr w:type="spellStart"/>
      <w:r w:rsidR="009F6498">
        <w:rPr>
          <w:rFonts w:ascii="Arial Narrow" w:hAnsi="Arial Narrow"/>
          <w:sz w:val="22"/>
          <w:szCs w:val="22"/>
        </w:rPr>
        <w:t>maxDS</w:t>
      </w:r>
      <w:proofErr w:type="spellEnd"/>
      <w:r w:rsidR="009F6498">
        <w:rPr>
          <w:rFonts w:ascii="Arial Narrow" w:hAnsi="Arial Narrow"/>
          <w:sz w:val="22"/>
          <w:szCs w:val="22"/>
        </w:rPr>
        <w:t xml:space="preserve">) </w:t>
      </w:r>
      <w:r w:rsidR="009E0692">
        <w:rPr>
          <w:rFonts w:ascii="Arial Narrow" w:hAnsi="Arial Narrow"/>
          <w:sz w:val="22"/>
          <w:szCs w:val="22"/>
        </w:rPr>
        <w:t xml:space="preserve">are mandatory and </w:t>
      </w:r>
      <w:r w:rsidR="009F6498">
        <w:rPr>
          <w:rFonts w:ascii="Arial Narrow" w:hAnsi="Arial Narrow"/>
          <w:sz w:val="22"/>
          <w:szCs w:val="22"/>
        </w:rPr>
        <w:t>‘</w:t>
      </w:r>
      <w:proofErr w:type="spellStart"/>
      <w:r w:rsidR="009F6498">
        <w:rPr>
          <w:rFonts w:ascii="Arial Narrow" w:hAnsi="Arial Narrow"/>
          <w:sz w:val="22"/>
          <w:szCs w:val="22"/>
        </w:rPr>
        <w:t>minimumDisplayScale</w:t>
      </w:r>
      <w:proofErr w:type="spellEnd"/>
      <w:r w:rsidR="009F6498">
        <w:rPr>
          <w:rFonts w:ascii="Arial Narrow" w:hAnsi="Arial Narrow"/>
          <w:sz w:val="22"/>
          <w:szCs w:val="22"/>
        </w:rPr>
        <w:t xml:space="preserve">’ must </w:t>
      </w:r>
      <w:r w:rsidR="009E0692">
        <w:rPr>
          <w:rFonts w:ascii="Arial Narrow" w:hAnsi="Arial Narrow"/>
          <w:sz w:val="22"/>
          <w:szCs w:val="22"/>
        </w:rPr>
        <w:t>be the same for the whole ENC product.</w:t>
      </w:r>
      <w:r w:rsidR="00E71C78">
        <w:rPr>
          <w:rFonts w:ascii="Arial Narrow" w:hAnsi="Arial Narrow"/>
          <w:sz w:val="22"/>
          <w:szCs w:val="22"/>
        </w:rPr>
        <w:br/>
      </w:r>
      <w:r w:rsidR="009E0692">
        <w:rPr>
          <w:rFonts w:ascii="Arial Narrow" w:hAnsi="Arial Narrow"/>
          <w:sz w:val="22"/>
          <w:szCs w:val="22"/>
        </w:rPr>
        <w:br/>
      </w:r>
      <w:r w:rsidR="00F224B8">
        <w:rPr>
          <w:rFonts w:ascii="Arial Narrow" w:hAnsi="Arial Narrow"/>
          <w:sz w:val="22"/>
          <w:szCs w:val="22"/>
        </w:rPr>
        <w:t xml:space="preserve">While using the S-57 to S-101 converter </w:t>
      </w:r>
      <w:r w:rsidR="009F6498">
        <w:rPr>
          <w:rFonts w:ascii="Arial Narrow" w:hAnsi="Arial Narrow"/>
          <w:sz w:val="22"/>
          <w:szCs w:val="22"/>
        </w:rPr>
        <w:t>(</w:t>
      </w:r>
      <w:r w:rsidR="00F224B8">
        <w:rPr>
          <w:rFonts w:ascii="Arial Narrow" w:hAnsi="Arial Narrow"/>
          <w:sz w:val="22"/>
          <w:szCs w:val="22"/>
        </w:rPr>
        <w:t>available to S-100</w:t>
      </w:r>
      <w:r w:rsidR="009F6498">
        <w:rPr>
          <w:rFonts w:ascii="Arial Narrow" w:hAnsi="Arial Narrow"/>
          <w:sz w:val="22"/>
          <w:szCs w:val="22"/>
        </w:rPr>
        <w:t>WG members in Basecamp)</w:t>
      </w:r>
      <w:r w:rsidR="00F224B8">
        <w:rPr>
          <w:rFonts w:ascii="Arial Narrow" w:hAnsi="Arial Narrow"/>
          <w:sz w:val="22"/>
          <w:szCs w:val="22"/>
        </w:rPr>
        <w:t>, the AHO noticed that M_COVR is converted into a ‘</w:t>
      </w:r>
      <w:proofErr w:type="spellStart"/>
      <w:r w:rsidR="00F224B8">
        <w:rPr>
          <w:rFonts w:ascii="Arial Narrow" w:hAnsi="Arial Narrow"/>
          <w:sz w:val="22"/>
          <w:szCs w:val="22"/>
        </w:rPr>
        <w:t>DataCoverage</w:t>
      </w:r>
      <w:proofErr w:type="spellEnd"/>
      <w:r w:rsidR="00F224B8">
        <w:rPr>
          <w:rFonts w:ascii="Arial Narrow" w:hAnsi="Arial Narrow"/>
          <w:sz w:val="22"/>
          <w:szCs w:val="22"/>
        </w:rPr>
        <w:t>’</w:t>
      </w:r>
      <w:r w:rsidR="009F6498">
        <w:rPr>
          <w:rFonts w:ascii="Arial Narrow" w:hAnsi="Arial Narrow"/>
          <w:sz w:val="22"/>
          <w:szCs w:val="22"/>
        </w:rPr>
        <w:t xml:space="preserve"> </w:t>
      </w:r>
      <w:r w:rsidR="00F224B8">
        <w:rPr>
          <w:rFonts w:ascii="Arial Narrow" w:hAnsi="Arial Narrow"/>
          <w:sz w:val="22"/>
          <w:szCs w:val="22"/>
        </w:rPr>
        <w:t xml:space="preserve">feature and </w:t>
      </w:r>
      <w:proofErr w:type="spellStart"/>
      <w:r w:rsidR="009F6498">
        <w:rPr>
          <w:rFonts w:ascii="Arial Narrow" w:hAnsi="Arial Narrow"/>
          <w:sz w:val="22"/>
          <w:szCs w:val="22"/>
        </w:rPr>
        <w:t>m</w:t>
      </w:r>
      <w:r w:rsidR="00F224B8">
        <w:rPr>
          <w:rFonts w:ascii="Arial Narrow" w:hAnsi="Arial Narrow"/>
          <w:sz w:val="22"/>
          <w:szCs w:val="22"/>
        </w:rPr>
        <w:t>in</w:t>
      </w:r>
      <w:r w:rsidR="009F6498">
        <w:rPr>
          <w:rFonts w:ascii="Arial Narrow" w:hAnsi="Arial Narrow"/>
          <w:sz w:val="22"/>
          <w:szCs w:val="22"/>
        </w:rPr>
        <w:t>D</w:t>
      </w:r>
      <w:r w:rsidR="00F224B8">
        <w:rPr>
          <w:rFonts w:ascii="Arial Narrow" w:hAnsi="Arial Narrow"/>
          <w:sz w:val="22"/>
          <w:szCs w:val="22"/>
        </w:rPr>
        <w:t>S</w:t>
      </w:r>
      <w:proofErr w:type="spellEnd"/>
      <w:r w:rsidR="00F224B8">
        <w:rPr>
          <w:rFonts w:ascii="Arial Narrow" w:hAnsi="Arial Narrow"/>
          <w:sz w:val="22"/>
          <w:szCs w:val="22"/>
        </w:rPr>
        <w:t xml:space="preserve"> is set to one scale range smaller than CSCL and </w:t>
      </w:r>
      <w:proofErr w:type="spellStart"/>
      <w:r w:rsidR="009F6498">
        <w:rPr>
          <w:rFonts w:ascii="Arial Narrow" w:hAnsi="Arial Narrow"/>
          <w:sz w:val="22"/>
          <w:szCs w:val="22"/>
        </w:rPr>
        <w:t>maxD</w:t>
      </w:r>
      <w:r w:rsidR="00F224B8">
        <w:rPr>
          <w:rFonts w:ascii="Arial Narrow" w:hAnsi="Arial Narrow"/>
          <w:sz w:val="22"/>
          <w:szCs w:val="22"/>
        </w:rPr>
        <w:t>S</w:t>
      </w:r>
      <w:proofErr w:type="spellEnd"/>
      <w:r w:rsidR="00F224B8">
        <w:rPr>
          <w:rFonts w:ascii="Arial Narrow" w:hAnsi="Arial Narrow"/>
          <w:sz w:val="22"/>
          <w:szCs w:val="22"/>
        </w:rPr>
        <w:t xml:space="preserve"> to CSCL. Similarly M_CSCL </w:t>
      </w:r>
      <w:r w:rsidR="00BB58FB">
        <w:rPr>
          <w:rFonts w:ascii="Arial Narrow" w:hAnsi="Arial Narrow"/>
          <w:sz w:val="22"/>
          <w:szCs w:val="22"/>
        </w:rPr>
        <w:t>objects</w:t>
      </w:r>
      <w:r w:rsidR="00F224B8">
        <w:rPr>
          <w:rFonts w:ascii="Arial Narrow" w:hAnsi="Arial Narrow"/>
          <w:sz w:val="22"/>
          <w:szCs w:val="22"/>
        </w:rPr>
        <w:t xml:space="preserve"> are converted </w:t>
      </w:r>
      <w:r w:rsidR="00B0554C">
        <w:rPr>
          <w:rFonts w:ascii="Arial Narrow" w:hAnsi="Arial Narrow"/>
          <w:sz w:val="22"/>
          <w:szCs w:val="22"/>
        </w:rPr>
        <w:t>in</w:t>
      </w:r>
      <w:r w:rsidR="00F224B8">
        <w:rPr>
          <w:rFonts w:ascii="Arial Narrow" w:hAnsi="Arial Narrow"/>
          <w:sz w:val="22"/>
          <w:szCs w:val="22"/>
        </w:rPr>
        <w:t>to</w:t>
      </w:r>
      <w:r w:rsidR="00B0554C">
        <w:rPr>
          <w:rFonts w:ascii="Arial Narrow" w:hAnsi="Arial Narrow"/>
          <w:sz w:val="22"/>
          <w:szCs w:val="22"/>
        </w:rPr>
        <w:t xml:space="preserve"> S-101</w:t>
      </w:r>
      <w:r w:rsidR="00F224B8">
        <w:rPr>
          <w:rFonts w:ascii="Arial Narrow" w:hAnsi="Arial Narrow"/>
          <w:sz w:val="22"/>
          <w:szCs w:val="22"/>
        </w:rPr>
        <w:t xml:space="preserve"> </w:t>
      </w:r>
      <w:r w:rsidR="00B0554C">
        <w:rPr>
          <w:rFonts w:ascii="Arial Narrow" w:hAnsi="Arial Narrow"/>
          <w:sz w:val="22"/>
          <w:szCs w:val="22"/>
        </w:rPr>
        <w:t>‘</w:t>
      </w:r>
      <w:proofErr w:type="spellStart"/>
      <w:r w:rsidR="00B0554C">
        <w:rPr>
          <w:rFonts w:ascii="Arial Narrow" w:hAnsi="Arial Narrow"/>
          <w:sz w:val="22"/>
          <w:szCs w:val="22"/>
        </w:rPr>
        <w:t>DataCoverage</w:t>
      </w:r>
      <w:proofErr w:type="spellEnd"/>
      <w:r w:rsidR="00B0554C">
        <w:rPr>
          <w:rFonts w:ascii="Arial Narrow" w:hAnsi="Arial Narrow"/>
          <w:sz w:val="22"/>
          <w:szCs w:val="22"/>
        </w:rPr>
        <w:t>’ features</w:t>
      </w:r>
      <w:r w:rsidR="00F224B8">
        <w:rPr>
          <w:rFonts w:ascii="Arial Narrow" w:hAnsi="Arial Narrow"/>
          <w:sz w:val="22"/>
          <w:szCs w:val="22"/>
        </w:rPr>
        <w:t xml:space="preserve"> with </w:t>
      </w:r>
      <w:proofErr w:type="spellStart"/>
      <w:r w:rsidR="009F6498">
        <w:rPr>
          <w:rFonts w:ascii="Arial Narrow" w:hAnsi="Arial Narrow"/>
          <w:sz w:val="22"/>
          <w:szCs w:val="22"/>
        </w:rPr>
        <w:t>m</w:t>
      </w:r>
      <w:r w:rsidR="00F224B8">
        <w:rPr>
          <w:rFonts w:ascii="Arial Narrow" w:hAnsi="Arial Narrow"/>
          <w:sz w:val="22"/>
          <w:szCs w:val="22"/>
        </w:rPr>
        <w:t>in</w:t>
      </w:r>
      <w:r w:rsidR="009F6498">
        <w:rPr>
          <w:rFonts w:ascii="Arial Narrow" w:hAnsi="Arial Narrow"/>
          <w:sz w:val="22"/>
          <w:szCs w:val="22"/>
        </w:rPr>
        <w:t>DS</w:t>
      </w:r>
      <w:proofErr w:type="spellEnd"/>
      <w:r w:rsidR="00F224B8">
        <w:rPr>
          <w:rFonts w:ascii="Arial Narrow" w:hAnsi="Arial Narrow"/>
          <w:sz w:val="22"/>
          <w:szCs w:val="22"/>
        </w:rPr>
        <w:t xml:space="preserve"> e</w:t>
      </w:r>
      <w:r w:rsidR="009F6498">
        <w:rPr>
          <w:rFonts w:ascii="Arial Narrow" w:hAnsi="Arial Narrow"/>
          <w:sz w:val="22"/>
          <w:szCs w:val="22"/>
        </w:rPr>
        <w:t>qua</w:t>
      </w:r>
      <w:r w:rsidR="00F224B8">
        <w:rPr>
          <w:rFonts w:ascii="Arial Narrow" w:hAnsi="Arial Narrow"/>
          <w:sz w:val="22"/>
          <w:szCs w:val="22"/>
        </w:rPr>
        <w:t xml:space="preserve">l to the </w:t>
      </w:r>
      <w:r w:rsidR="00B0554C">
        <w:rPr>
          <w:rFonts w:ascii="Arial Narrow" w:hAnsi="Arial Narrow"/>
          <w:sz w:val="22"/>
          <w:szCs w:val="22"/>
        </w:rPr>
        <w:t xml:space="preserve">value </w:t>
      </w:r>
      <w:r w:rsidR="00F224B8">
        <w:rPr>
          <w:rFonts w:ascii="Arial Narrow" w:hAnsi="Arial Narrow"/>
          <w:sz w:val="22"/>
          <w:szCs w:val="22"/>
        </w:rPr>
        <w:t xml:space="preserve">set for the Data Coverage feature </w:t>
      </w:r>
      <w:r w:rsidR="00B0554C">
        <w:rPr>
          <w:rFonts w:ascii="Arial Narrow" w:hAnsi="Arial Narrow"/>
          <w:sz w:val="22"/>
          <w:szCs w:val="22"/>
        </w:rPr>
        <w:t>generated from</w:t>
      </w:r>
      <w:r w:rsidR="00F224B8">
        <w:rPr>
          <w:rFonts w:ascii="Arial Narrow" w:hAnsi="Arial Narrow"/>
          <w:sz w:val="22"/>
          <w:szCs w:val="22"/>
        </w:rPr>
        <w:t xml:space="preserve"> M_COVR and </w:t>
      </w:r>
      <w:proofErr w:type="spellStart"/>
      <w:r w:rsidR="009F6498">
        <w:rPr>
          <w:rFonts w:ascii="Arial Narrow" w:hAnsi="Arial Narrow"/>
          <w:sz w:val="22"/>
          <w:szCs w:val="22"/>
        </w:rPr>
        <w:t>m</w:t>
      </w:r>
      <w:r w:rsidR="00F224B8">
        <w:rPr>
          <w:rFonts w:ascii="Arial Narrow" w:hAnsi="Arial Narrow"/>
          <w:sz w:val="22"/>
          <w:szCs w:val="22"/>
        </w:rPr>
        <w:t>ax</w:t>
      </w:r>
      <w:r w:rsidR="009F6498">
        <w:rPr>
          <w:rFonts w:ascii="Arial Narrow" w:hAnsi="Arial Narrow"/>
          <w:sz w:val="22"/>
          <w:szCs w:val="22"/>
        </w:rPr>
        <w:t>D</w:t>
      </w:r>
      <w:r w:rsidR="00F224B8">
        <w:rPr>
          <w:rFonts w:ascii="Arial Narrow" w:hAnsi="Arial Narrow"/>
          <w:sz w:val="22"/>
          <w:szCs w:val="22"/>
        </w:rPr>
        <w:t>S</w:t>
      </w:r>
      <w:proofErr w:type="spellEnd"/>
      <w:r w:rsidR="00F224B8">
        <w:rPr>
          <w:rFonts w:ascii="Arial Narrow" w:hAnsi="Arial Narrow"/>
          <w:sz w:val="22"/>
          <w:szCs w:val="22"/>
        </w:rPr>
        <w:t xml:space="preserve"> is set to the value of the corresponding CSCALE attribute.</w:t>
      </w:r>
      <w:r w:rsidR="00012508">
        <w:rPr>
          <w:rFonts w:ascii="Arial Narrow" w:hAnsi="Arial Narrow"/>
          <w:sz w:val="22"/>
          <w:szCs w:val="22"/>
        </w:rPr>
        <w:br/>
      </w:r>
      <w:r w:rsidR="00F224B8">
        <w:rPr>
          <w:rFonts w:ascii="Arial Narrow" w:hAnsi="Arial Narrow"/>
          <w:sz w:val="22"/>
          <w:szCs w:val="22"/>
        </w:rPr>
        <w:br/>
        <w:t xml:space="preserve">The methodology currently used by the converter presents </w:t>
      </w:r>
      <w:r w:rsidR="00D5540A">
        <w:rPr>
          <w:rFonts w:ascii="Arial Narrow" w:hAnsi="Arial Narrow"/>
          <w:sz w:val="22"/>
          <w:szCs w:val="22"/>
        </w:rPr>
        <w:t>some</w:t>
      </w:r>
      <w:r w:rsidR="00F224B8">
        <w:rPr>
          <w:rFonts w:ascii="Arial Narrow" w:hAnsi="Arial Narrow"/>
          <w:sz w:val="22"/>
          <w:szCs w:val="22"/>
        </w:rPr>
        <w:t xml:space="preserve"> problems:</w:t>
      </w:r>
    </w:p>
    <w:p w:rsidR="00F224B8" w:rsidRDefault="00F224B8" w:rsidP="00F224B8">
      <w:pPr>
        <w:pStyle w:val="Default"/>
        <w:numPr>
          <w:ilvl w:val="0"/>
          <w:numId w:val="3"/>
        </w:numPr>
        <w:spacing w:before="1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The </w:t>
      </w:r>
      <w:r w:rsidR="00521E29">
        <w:rPr>
          <w:rFonts w:ascii="Arial Narrow" w:hAnsi="Arial Narrow"/>
          <w:sz w:val="22"/>
          <w:szCs w:val="22"/>
        </w:rPr>
        <w:t>‘</w:t>
      </w:r>
      <w:proofErr w:type="spellStart"/>
      <w:r>
        <w:rPr>
          <w:rFonts w:ascii="Arial Narrow" w:hAnsi="Arial Narrow"/>
          <w:sz w:val="22"/>
          <w:szCs w:val="22"/>
        </w:rPr>
        <w:t>DataCoverage</w:t>
      </w:r>
      <w:proofErr w:type="spellEnd"/>
      <w:r w:rsidR="00521E29">
        <w:rPr>
          <w:rFonts w:ascii="Arial Narrow" w:hAnsi="Arial Narrow"/>
          <w:sz w:val="22"/>
          <w:szCs w:val="22"/>
        </w:rPr>
        <w:t>’’feature</w:t>
      </w:r>
      <w:r>
        <w:rPr>
          <w:rFonts w:ascii="Arial Narrow" w:hAnsi="Arial Narrow"/>
          <w:sz w:val="22"/>
          <w:szCs w:val="22"/>
        </w:rPr>
        <w:t xml:space="preserve"> corresponding to M_COVR </w:t>
      </w:r>
      <w:r w:rsidR="00521E29">
        <w:rPr>
          <w:rFonts w:ascii="Arial Narrow" w:hAnsi="Arial Narrow"/>
          <w:sz w:val="22"/>
          <w:szCs w:val="22"/>
        </w:rPr>
        <w:t xml:space="preserve">always </w:t>
      </w:r>
      <w:r>
        <w:rPr>
          <w:rFonts w:ascii="Arial Narrow" w:hAnsi="Arial Narrow"/>
          <w:sz w:val="22"/>
          <w:szCs w:val="22"/>
        </w:rPr>
        <w:t xml:space="preserve">overlaps </w:t>
      </w:r>
      <w:r w:rsidR="00521E29">
        <w:rPr>
          <w:rFonts w:ascii="Arial Narrow" w:hAnsi="Arial Narrow"/>
          <w:sz w:val="22"/>
          <w:szCs w:val="22"/>
        </w:rPr>
        <w:t>the</w:t>
      </w:r>
      <w:r>
        <w:rPr>
          <w:rFonts w:ascii="Arial Narrow" w:hAnsi="Arial Narrow"/>
          <w:sz w:val="22"/>
          <w:szCs w:val="22"/>
        </w:rPr>
        <w:t xml:space="preserve"> one</w:t>
      </w:r>
      <w:r w:rsidR="00521E29">
        <w:rPr>
          <w:rFonts w:ascii="Arial Narrow" w:hAnsi="Arial Narrow"/>
          <w:sz w:val="22"/>
          <w:szCs w:val="22"/>
        </w:rPr>
        <w:t>s</w:t>
      </w:r>
      <w:r>
        <w:rPr>
          <w:rFonts w:ascii="Arial Narrow" w:hAnsi="Arial Narrow"/>
          <w:sz w:val="22"/>
          <w:szCs w:val="22"/>
        </w:rPr>
        <w:t xml:space="preserve"> derived from M_CSCL</w:t>
      </w:r>
      <w:r w:rsidR="00521E29">
        <w:rPr>
          <w:rFonts w:ascii="Arial Narrow" w:hAnsi="Arial Narrow"/>
          <w:sz w:val="22"/>
          <w:szCs w:val="22"/>
        </w:rPr>
        <w:t xml:space="preserve"> objects.</w:t>
      </w:r>
    </w:p>
    <w:p w:rsidR="00F224B8" w:rsidRDefault="00F224B8" w:rsidP="00F224B8">
      <w:pPr>
        <w:pStyle w:val="Default"/>
        <w:numPr>
          <w:ilvl w:val="0"/>
          <w:numId w:val="3"/>
        </w:numPr>
        <w:spacing w:before="1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If a country has an M_CSCL with a CSCALE value smaller than CSCL (e.g. NOAA) the</w:t>
      </w:r>
      <w:r w:rsidR="009F6498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9F6498">
        <w:rPr>
          <w:rFonts w:ascii="Arial Narrow" w:hAnsi="Arial Narrow"/>
          <w:sz w:val="22"/>
          <w:szCs w:val="22"/>
        </w:rPr>
        <w:t>maxD</w:t>
      </w:r>
      <w:r>
        <w:rPr>
          <w:rFonts w:ascii="Arial Narrow" w:hAnsi="Arial Narrow"/>
          <w:sz w:val="22"/>
          <w:szCs w:val="22"/>
        </w:rPr>
        <w:t>S</w:t>
      </w:r>
      <w:proofErr w:type="spellEnd"/>
      <w:r>
        <w:rPr>
          <w:rFonts w:ascii="Arial Narrow" w:hAnsi="Arial Narrow"/>
          <w:sz w:val="22"/>
          <w:szCs w:val="22"/>
        </w:rPr>
        <w:t xml:space="preserve"> of this features is set to a value which is smaller than </w:t>
      </w:r>
      <w:proofErr w:type="spellStart"/>
      <w:r w:rsidR="009F6498">
        <w:rPr>
          <w:rFonts w:ascii="Arial Narrow" w:hAnsi="Arial Narrow"/>
          <w:sz w:val="22"/>
          <w:szCs w:val="22"/>
        </w:rPr>
        <w:t>minD</w:t>
      </w:r>
      <w:r>
        <w:rPr>
          <w:rFonts w:ascii="Arial Narrow" w:hAnsi="Arial Narrow"/>
          <w:sz w:val="22"/>
          <w:szCs w:val="22"/>
        </w:rPr>
        <w:t>S</w:t>
      </w:r>
      <w:proofErr w:type="spellEnd"/>
    </w:p>
    <w:p w:rsidR="00F224B8" w:rsidRDefault="00F224B8" w:rsidP="00F224B8">
      <w:pPr>
        <w:pStyle w:val="Default"/>
        <w:numPr>
          <w:ilvl w:val="0"/>
          <w:numId w:val="3"/>
        </w:numPr>
        <w:spacing w:before="1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If CSCL or CSCALE values do not correspond to </w:t>
      </w:r>
      <w:r w:rsidR="00521E29">
        <w:rPr>
          <w:rFonts w:ascii="Arial Narrow" w:hAnsi="Arial Narrow"/>
          <w:sz w:val="22"/>
          <w:szCs w:val="22"/>
        </w:rPr>
        <w:t>one of the</w:t>
      </w:r>
      <w:r>
        <w:rPr>
          <w:rFonts w:ascii="Arial Narrow" w:hAnsi="Arial Narrow"/>
          <w:sz w:val="22"/>
          <w:szCs w:val="22"/>
        </w:rPr>
        <w:t xml:space="preserve"> IHO</w:t>
      </w:r>
      <w:r w:rsidR="00521E29">
        <w:rPr>
          <w:rFonts w:ascii="Arial Narrow" w:hAnsi="Arial Narrow"/>
          <w:sz w:val="22"/>
          <w:szCs w:val="22"/>
        </w:rPr>
        <w:t>’s</w:t>
      </w:r>
      <w:r>
        <w:rPr>
          <w:rFonts w:ascii="Arial Narrow" w:hAnsi="Arial Narrow"/>
          <w:sz w:val="22"/>
          <w:szCs w:val="22"/>
        </w:rPr>
        <w:t xml:space="preserve"> accepted scale ranges, the software automatically ‘round</w:t>
      </w:r>
      <w:r w:rsidR="00521E29">
        <w:rPr>
          <w:rFonts w:ascii="Arial Narrow" w:hAnsi="Arial Narrow"/>
          <w:sz w:val="22"/>
          <w:szCs w:val="22"/>
        </w:rPr>
        <w:t>s them</w:t>
      </w:r>
      <w:r w:rsidR="009F6498">
        <w:rPr>
          <w:rFonts w:ascii="Arial Narrow" w:hAnsi="Arial Narrow"/>
          <w:sz w:val="22"/>
          <w:szCs w:val="22"/>
        </w:rPr>
        <w:t xml:space="preserve"> down</w:t>
      </w:r>
      <w:r>
        <w:rPr>
          <w:rFonts w:ascii="Arial Narrow" w:hAnsi="Arial Narrow"/>
          <w:sz w:val="22"/>
          <w:szCs w:val="22"/>
        </w:rPr>
        <w:t>’ to match one.</w:t>
      </w:r>
      <w:r w:rsidR="00E71C78">
        <w:rPr>
          <w:rFonts w:ascii="Arial Narrow" w:hAnsi="Arial Narrow"/>
          <w:sz w:val="22"/>
          <w:szCs w:val="22"/>
        </w:rPr>
        <w:br/>
      </w:r>
    </w:p>
    <w:p w:rsidR="001D5B10" w:rsidRPr="00497221" w:rsidRDefault="00A70AB4" w:rsidP="00E355E5">
      <w:pPr>
        <w:rPr>
          <w:sz w:val="20"/>
          <w:szCs w:val="20"/>
        </w:rPr>
      </w:pPr>
      <w:r>
        <w:rPr>
          <w:rFonts w:ascii="Arial Narrow" w:hAnsi="Arial Narrow"/>
          <w:sz w:val="22"/>
          <w:szCs w:val="22"/>
        </w:rPr>
        <w:t xml:space="preserve">Another topic the AHO would like to be discussed is the current guidance </w:t>
      </w:r>
      <w:r w:rsidR="00521E29">
        <w:rPr>
          <w:rFonts w:ascii="Arial Narrow" w:hAnsi="Arial Narrow"/>
          <w:sz w:val="22"/>
          <w:szCs w:val="22"/>
        </w:rPr>
        <w:t>in</w:t>
      </w:r>
      <w:r w:rsidRPr="00A70AB4">
        <w:rPr>
          <w:rFonts w:ascii="Arial Narrow" w:hAnsi="Arial Narrow"/>
          <w:sz w:val="22"/>
          <w:szCs w:val="22"/>
        </w:rPr>
        <w:t xml:space="preserve"> S-101 </w:t>
      </w:r>
      <w:r w:rsidR="00676D4C">
        <w:rPr>
          <w:rFonts w:ascii="Arial Narrow" w:hAnsi="Arial Narrow"/>
          <w:sz w:val="22"/>
          <w:szCs w:val="22"/>
        </w:rPr>
        <w:t>DCEG</w:t>
      </w:r>
      <w:r w:rsidRPr="00A70AB4">
        <w:rPr>
          <w:rFonts w:ascii="Arial Narrow" w:hAnsi="Arial Narrow"/>
          <w:sz w:val="22"/>
          <w:szCs w:val="22"/>
        </w:rPr>
        <w:t xml:space="preserve"> (0.0.2) </w:t>
      </w:r>
      <w:r>
        <w:rPr>
          <w:rFonts w:ascii="Arial Narrow" w:hAnsi="Arial Narrow"/>
          <w:sz w:val="22"/>
          <w:szCs w:val="22"/>
        </w:rPr>
        <w:t xml:space="preserve">regarding the </w:t>
      </w:r>
      <w:r w:rsidR="0080695A">
        <w:rPr>
          <w:rFonts w:ascii="Arial Narrow" w:hAnsi="Arial Narrow"/>
          <w:sz w:val="22"/>
          <w:szCs w:val="22"/>
        </w:rPr>
        <w:t>maximum number o</w:t>
      </w:r>
      <w:r>
        <w:rPr>
          <w:rFonts w:ascii="Arial Narrow" w:hAnsi="Arial Narrow"/>
          <w:sz w:val="22"/>
          <w:szCs w:val="22"/>
        </w:rPr>
        <w:t>f ‘</w:t>
      </w:r>
      <w:proofErr w:type="spellStart"/>
      <w:r>
        <w:rPr>
          <w:rFonts w:ascii="Arial Narrow" w:hAnsi="Arial Narrow"/>
          <w:sz w:val="22"/>
          <w:szCs w:val="22"/>
        </w:rPr>
        <w:t>DataCoverage</w:t>
      </w:r>
      <w:proofErr w:type="spellEnd"/>
      <w:r>
        <w:rPr>
          <w:rFonts w:ascii="Arial Narrow" w:hAnsi="Arial Narrow"/>
          <w:sz w:val="22"/>
          <w:szCs w:val="22"/>
        </w:rPr>
        <w:t>’ areas</w:t>
      </w:r>
      <w:r w:rsidR="00C004ED">
        <w:rPr>
          <w:rFonts w:ascii="Arial Narrow" w:hAnsi="Arial Narrow"/>
          <w:sz w:val="22"/>
          <w:szCs w:val="22"/>
        </w:rPr>
        <w:t>.</w:t>
      </w:r>
      <w:r>
        <w:rPr>
          <w:rFonts w:ascii="Arial Narrow" w:hAnsi="Arial Narrow"/>
          <w:sz w:val="22"/>
          <w:szCs w:val="22"/>
        </w:rPr>
        <w:br/>
      </w:r>
    </w:p>
    <w:p w:rsidR="00E355E5" w:rsidRDefault="00E355E5" w:rsidP="00E355E5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Th</w:t>
      </w:r>
      <w:r w:rsidRPr="00082B30">
        <w:rPr>
          <w:rFonts w:ascii="Arial Narrow" w:hAnsi="Arial Narrow"/>
          <w:sz w:val="22"/>
          <w:szCs w:val="22"/>
          <w:lang w:val="en-AU"/>
        </w:rPr>
        <w:t xml:space="preserve">e current </w:t>
      </w:r>
      <w:r>
        <w:rPr>
          <w:rFonts w:ascii="Arial Narrow" w:hAnsi="Arial Narrow"/>
          <w:sz w:val="22"/>
          <w:szCs w:val="22"/>
          <w:lang w:val="en-AU"/>
        </w:rPr>
        <w:t xml:space="preserve">S-57 </w:t>
      </w:r>
      <w:r w:rsidRPr="00082B30">
        <w:rPr>
          <w:rFonts w:ascii="Arial Narrow" w:hAnsi="Arial Narrow"/>
          <w:sz w:val="22"/>
          <w:szCs w:val="22"/>
          <w:lang w:val="en-AU"/>
        </w:rPr>
        <w:t>UOC guidance (2.2.6 Compilation scale</w:t>
      </w:r>
      <w:r>
        <w:rPr>
          <w:rFonts w:ascii="Arial Narrow" w:hAnsi="Arial Narrow"/>
          <w:sz w:val="22"/>
          <w:szCs w:val="22"/>
          <w:lang w:val="en-AU"/>
        </w:rPr>
        <w:t xml:space="preserve"> - Remarks) states as follows:</w:t>
      </w:r>
      <w:r>
        <w:rPr>
          <w:rFonts w:ascii="Arial Narrow" w:hAnsi="Arial Narrow"/>
          <w:sz w:val="22"/>
          <w:szCs w:val="22"/>
          <w:lang w:val="en-AU"/>
        </w:rPr>
        <w:br/>
      </w:r>
    </w:p>
    <w:p w:rsidR="00E355E5" w:rsidRPr="00E44C7C" w:rsidRDefault="00E355E5" w:rsidP="00E355E5">
      <w:pPr>
        <w:pStyle w:val="Heading2"/>
        <w:spacing w:before="0"/>
        <w:rPr>
          <w:rFonts w:ascii="Times New Roman" w:hAnsi="Times New Roman"/>
          <w:b w:val="0"/>
          <w:i/>
          <w:color w:val="000000"/>
          <w:sz w:val="20"/>
          <w:lang w:eastAsia="de-DE"/>
        </w:rPr>
      </w:pPr>
      <w:r w:rsidRPr="00E44C7C">
        <w:rPr>
          <w:rFonts w:ascii="Times New Roman" w:hAnsi="Times New Roman"/>
          <w:b w:val="0"/>
          <w:i/>
          <w:color w:val="000000"/>
          <w:sz w:val="20"/>
          <w:lang w:eastAsia="de-DE"/>
        </w:rPr>
        <w:t xml:space="preserve">‘The use of </w:t>
      </w:r>
      <w:r w:rsidRPr="00E44C7C">
        <w:rPr>
          <w:rFonts w:ascii="Times New Roman" w:hAnsi="Times New Roman"/>
          <w:b w:val="0"/>
          <w:i/>
          <w:color w:val="FF0000"/>
          <w:sz w:val="20"/>
          <w:lang w:eastAsia="de-DE"/>
        </w:rPr>
        <w:t xml:space="preserve">too many </w:t>
      </w:r>
      <w:r w:rsidRPr="00E44C7C">
        <w:rPr>
          <w:rFonts w:ascii="Times New Roman" w:hAnsi="Times New Roman"/>
          <w:b w:val="0"/>
          <w:i/>
          <w:color w:val="000000"/>
          <w:sz w:val="20"/>
          <w:lang w:eastAsia="de-DE"/>
        </w:rPr>
        <w:t xml:space="preserve">M_CSCL objects within the same ENC cell </w:t>
      </w:r>
      <w:r w:rsidRPr="00E44C7C">
        <w:rPr>
          <w:rFonts w:ascii="Times New Roman" w:hAnsi="Times New Roman"/>
          <w:b w:val="0"/>
          <w:i/>
          <w:color w:val="FF0000"/>
          <w:sz w:val="20"/>
          <w:lang w:eastAsia="de-DE"/>
        </w:rPr>
        <w:t>should be avoided</w:t>
      </w:r>
      <w:r w:rsidRPr="00E44C7C">
        <w:rPr>
          <w:rFonts w:ascii="Times New Roman" w:hAnsi="Times New Roman"/>
          <w:b w:val="0"/>
          <w:i/>
          <w:color w:val="000000"/>
          <w:sz w:val="20"/>
          <w:lang w:eastAsia="de-DE"/>
        </w:rPr>
        <w:t>. The values for the attribute CSCALE of any M_CSCL object should be populated using the same criteria as those used for setting the default compilation scale for the cell.’</w:t>
      </w:r>
    </w:p>
    <w:p w:rsidR="00E355E5" w:rsidRDefault="00E355E5" w:rsidP="00C310AF">
      <w:pPr>
        <w:rPr>
          <w:rFonts w:ascii="Arial Narrow" w:hAnsi="Arial Narrow" w:cs="Arial"/>
          <w:color w:val="000000"/>
          <w:sz w:val="22"/>
          <w:szCs w:val="22"/>
          <w:lang w:val="en-AU" w:eastAsia="de-DE"/>
        </w:rPr>
      </w:pPr>
    </w:p>
    <w:p w:rsidR="00E355E5" w:rsidRDefault="00E355E5" w:rsidP="00C310AF">
      <w:pPr>
        <w:rPr>
          <w:rFonts w:ascii="Arial Narrow" w:hAnsi="Arial Narrow" w:cs="Arial"/>
          <w:color w:val="000000"/>
          <w:sz w:val="22"/>
          <w:szCs w:val="22"/>
          <w:lang w:val="en-AU" w:eastAsia="de-DE"/>
        </w:rPr>
      </w:pP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>Th</w:t>
      </w:r>
      <w:r w:rsidR="00E44C7C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e latest version of the S-101 </w:t>
      </w:r>
      <w:proofErr w:type="gramStart"/>
      <w:r w:rsidR="00E44C7C">
        <w:rPr>
          <w:rFonts w:ascii="Arial Narrow" w:hAnsi="Arial Narrow" w:cs="Arial"/>
          <w:color w:val="000000"/>
          <w:sz w:val="22"/>
          <w:szCs w:val="22"/>
          <w:lang w:val="en-AU" w:eastAsia="de-DE"/>
        </w:rPr>
        <w:t>DCEG</w:t>
      </w: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 (</w:t>
      </w:r>
      <w:proofErr w:type="gramEnd"/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0.0.2) has a more strict approach to the use of the </w:t>
      </w:r>
      <w:proofErr w:type="spellStart"/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>DataCoverage</w:t>
      </w:r>
      <w:proofErr w:type="spellEnd"/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object. It states:</w:t>
      </w: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br/>
      </w:r>
      <w:r>
        <w:rPr>
          <w:rFonts w:ascii="Arial Narrow" w:hAnsi="Arial Narrow"/>
          <w:sz w:val="22"/>
          <w:szCs w:val="22"/>
        </w:rPr>
        <w:br/>
      </w:r>
      <w:r>
        <w:rPr>
          <w:sz w:val="20"/>
          <w:szCs w:val="20"/>
        </w:rPr>
        <w:t>‘</w:t>
      </w:r>
      <w:r w:rsidRPr="00C004ED">
        <w:rPr>
          <w:i/>
          <w:sz w:val="20"/>
          <w:szCs w:val="20"/>
        </w:rPr>
        <w:t xml:space="preserve">Producing Authorities are to note, however, that excessive use of multiple </w:t>
      </w:r>
      <w:r w:rsidRPr="00497221">
        <w:rPr>
          <w:bCs/>
          <w:i/>
          <w:sz w:val="20"/>
          <w:szCs w:val="20"/>
        </w:rPr>
        <w:t>Data Coverage</w:t>
      </w:r>
      <w:r w:rsidRPr="00C004ED">
        <w:rPr>
          <w:b/>
          <w:bCs/>
          <w:i/>
          <w:sz w:val="20"/>
          <w:szCs w:val="20"/>
        </w:rPr>
        <w:t xml:space="preserve"> </w:t>
      </w:r>
      <w:r w:rsidRPr="00C004ED">
        <w:rPr>
          <w:i/>
          <w:sz w:val="20"/>
          <w:szCs w:val="20"/>
        </w:rPr>
        <w:t xml:space="preserve">features having different values of </w:t>
      </w:r>
      <w:r w:rsidRPr="00497221">
        <w:rPr>
          <w:bCs/>
          <w:i/>
          <w:sz w:val="20"/>
          <w:szCs w:val="20"/>
        </w:rPr>
        <w:t>maximum display scale</w:t>
      </w:r>
      <w:r w:rsidRPr="00C004ED">
        <w:rPr>
          <w:b/>
          <w:bCs/>
          <w:i/>
          <w:sz w:val="20"/>
          <w:szCs w:val="20"/>
        </w:rPr>
        <w:t xml:space="preserve"> </w:t>
      </w:r>
      <w:r w:rsidRPr="00C004ED">
        <w:rPr>
          <w:i/>
          <w:sz w:val="20"/>
          <w:szCs w:val="20"/>
        </w:rPr>
        <w:t xml:space="preserve">within a single dataset </w:t>
      </w:r>
      <w:r w:rsidRPr="000E189F">
        <w:rPr>
          <w:b/>
          <w:i/>
          <w:color w:val="FF0000"/>
          <w:sz w:val="20"/>
          <w:szCs w:val="20"/>
        </w:rPr>
        <w:t>must</w:t>
      </w:r>
      <w:r w:rsidRPr="00E355E5">
        <w:rPr>
          <w:i/>
          <w:color w:val="FF0000"/>
          <w:sz w:val="20"/>
          <w:szCs w:val="20"/>
        </w:rPr>
        <w:t xml:space="preserve"> </w:t>
      </w:r>
      <w:r w:rsidRPr="00C004ED">
        <w:rPr>
          <w:i/>
          <w:sz w:val="20"/>
          <w:szCs w:val="20"/>
        </w:rPr>
        <w:t xml:space="preserve">be avoided, with a </w:t>
      </w:r>
      <w:r w:rsidRPr="00E44C7C">
        <w:rPr>
          <w:i/>
          <w:color w:val="FF0000"/>
          <w:sz w:val="20"/>
          <w:szCs w:val="20"/>
        </w:rPr>
        <w:t xml:space="preserve">maximum number of </w:t>
      </w:r>
      <w:r w:rsidRPr="00497221">
        <w:rPr>
          <w:b/>
          <w:i/>
          <w:color w:val="FF0000"/>
          <w:sz w:val="20"/>
          <w:szCs w:val="20"/>
        </w:rPr>
        <w:t>3</w:t>
      </w:r>
      <w:r w:rsidRPr="00C004ED">
        <w:rPr>
          <w:i/>
          <w:sz w:val="20"/>
          <w:szCs w:val="20"/>
        </w:rPr>
        <w:t xml:space="preserve"> </w:t>
      </w:r>
      <w:r w:rsidRPr="000E189F">
        <w:rPr>
          <w:bCs/>
          <w:i/>
          <w:color w:val="FF0000"/>
          <w:sz w:val="20"/>
          <w:szCs w:val="20"/>
        </w:rPr>
        <w:t xml:space="preserve">Data Coverage </w:t>
      </w:r>
      <w:r w:rsidRPr="000E189F">
        <w:rPr>
          <w:i/>
          <w:color w:val="FF0000"/>
          <w:sz w:val="20"/>
          <w:szCs w:val="20"/>
        </w:rPr>
        <w:t xml:space="preserve">features </w:t>
      </w:r>
      <w:r w:rsidRPr="00E44C7C">
        <w:rPr>
          <w:i/>
          <w:color w:val="FF0000"/>
          <w:sz w:val="20"/>
          <w:szCs w:val="20"/>
        </w:rPr>
        <w:t>being permitted</w:t>
      </w:r>
      <w:r w:rsidRPr="00497221">
        <w:rPr>
          <w:i/>
          <w:sz w:val="20"/>
          <w:szCs w:val="20"/>
        </w:rPr>
        <w:t>.</w:t>
      </w:r>
      <w:r w:rsidRPr="00497221">
        <w:rPr>
          <w:sz w:val="20"/>
          <w:szCs w:val="20"/>
        </w:rPr>
        <w:t>’</w:t>
      </w:r>
    </w:p>
    <w:p w:rsidR="00E355E5" w:rsidRDefault="00E355E5" w:rsidP="00C310AF">
      <w:pPr>
        <w:rPr>
          <w:rFonts w:ascii="Arial Narrow" w:hAnsi="Arial Narrow" w:cs="Arial"/>
          <w:color w:val="000000"/>
          <w:sz w:val="22"/>
          <w:szCs w:val="22"/>
          <w:lang w:val="en-AU" w:eastAsia="de-DE"/>
        </w:rPr>
      </w:pPr>
    </w:p>
    <w:p w:rsidR="00E91FF1" w:rsidRDefault="00E91FF1" w:rsidP="00E9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Arial"/>
          <w:color w:val="000000"/>
          <w:sz w:val="22"/>
          <w:szCs w:val="22"/>
          <w:lang w:val="en-AU" w:eastAsia="de-DE"/>
        </w:rPr>
      </w:pPr>
      <w:r w:rsidRPr="00A70AB4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The AHO would like to see this statement </w:t>
      </w: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reviewed </w:t>
      </w:r>
      <w:r w:rsidRPr="00E91FF1">
        <w:rPr>
          <w:rFonts w:ascii="Arial Narrow" w:hAnsi="Arial Narrow" w:cs="Arial"/>
          <w:color w:val="000000"/>
          <w:sz w:val="22"/>
          <w:szCs w:val="22"/>
          <w:u w:val="single"/>
          <w:lang w:val="en-AU" w:eastAsia="de-DE"/>
        </w:rPr>
        <w:t>before</w:t>
      </w: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S-101 DCEG Ed1 is published</w:t>
      </w:r>
      <w:r w:rsidRPr="00A70AB4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or treat the statement as guidance only (should instead of must). </w:t>
      </w:r>
    </w:p>
    <w:p w:rsidR="00E91FF1" w:rsidRDefault="00E91FF1" w:rsidP="00C310AF">
      <w:pPr>
        <w:rPr>
          <w:rFonts w:ascii="Arial Narrow" w:hAnsi="Arial Narrow" w:cs="Arial"/>
          <w:b/>
          <w:color w:val="000000"/>
          <w:sz w:val="22"/>
          <w:szCs w:val="22"/>
          <w:lang w:val="en-AU" w:eastAsia="de-DE"/>
        </w:rPr>
      </w:pPr>
    </w:p>
    <w:p w:rsidR="00E91FF1" w:rsidRPr="00E91FF1" w:rsidRDefault="00E91FF1" w:rsidP="00C310AF">
      <w:pPr>
        <w:rPr>
          <w:rFonts w:ascii="Arial Narrow" w:hAnsi="Arial Narrow" w:cs="Arial"/>
          <w:b/>
          <w:color w:val="000000"/>
          <w:sz w:val="22"/>
          <w:szCs w:val="22"/>
          <w:lang w:val="en-AU" w:eastAsia="de-DE"/>
        </w:rPr>
      </w:pPr>
      <w:r>
        <w:rPr>
          <w:rFonts w:ascii="Arial Narrow" w:hAnsi="Arial Narrow" w:cs="Arial"/>
          <w:b/>
          <w:color w:val="000000"/>
          <w:sz w:val="22"/>
          <w:szCs w:val="22"/>
          <w:lang w:val="en-AU" w:eastAsia="de-DE"/>
        </w:rPr>
        <w:t xml:space="preserve">Current status regarding </w:t>
      </w:r>
      <w:r w:rsidRPr="00E91FF1">
        <w:rPr>
          <w:rFonts w:ascii="Arial Narrow" w:hAnsi="Arial Narrow" w:cs="Arial"/>
          <w:b/>
          <w:color w:val="000000"/>
          <w:sz w:val="22"/>
          <w:szCs w:val="22"/>
          <w:lang w:val="en-AU" w:eastAsia="de-DE"/>
        </w:rPr>
        <w:t xml:space="preserve">M_CSCL </w:t>
      </w:r>
      <w:r>
        <w:rPr>
          <w:rFonts w:ascii="Arial Narrow" w:hAnsi="Arial Narrow" w:cs="Arial"/>
          <w:b/>
          <w:color w:val="000000"/>
          <w:sz w:val="22"/>
          <w:szCs w:val="22"/>
          <w:lang w:val="en-AU" w:eastAsia="de-DE"/>
        </w:rPr>
        <w:t>use</w:t>
      </w:r>
      <w:r w:rsidRPr="00E91FF1">
        <w:rPr>
          <w:rFonts w:ascii="Arial Narrow" w:hAnsi="Arial Narrow" w:cs="Arial"/>
          <w:b/>
          <w:color w:val="000000"/>
          <w:sz w:val="22"/>
          <w:szCs w:val="22"/>
          <w:lang w:val="en-AU" w:eastAsia="de-DE"/>
        </w:rPr>
        <w:t xml:space="preserve"> at the AHO: </w:t>
      </w:r>
    </w:p>
    <w:p w:rsidR="00E91FF1" w:rsidRDefault="00E91FF1" w:rsidP="00C310AF">
      <w:pPr>
        <w:rPr>
          <w:rFonts w:ascii="Arial Narrow" w:hAnsi="Arial Narrow" w:cs="Arial"/>
          <w:color w:val="000000"/>
          <w:sz w:val="22"/>
          <w:szCs w:val="22"/>
          <w:lang w:val="en-AU" w:eastAsia="de-DE"/>
        </w:rPr>
      </w:pPr>
    </w:p>
    <w:p w:rsidR="006601BF" w:rsidRDefault="006601BF" w:rsidP="00C310AF">
      <w:pPr>
        <w:rPr>
          <w:rFonts w:ascii="Arial Narrow" w:hAnsi="Arial Narrow" w:cs="Arial"/>
          <w:color w:val="000000"/>
          <w:sz w:val="22"/>
          <w:szCs w:val="22"/>
          <w:lang w:val="en-AU" w:eastAsia="de-DE"/>
        </w:rPr>
      </w:pP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The AHO currently has up to 4 different scale levels encoded in one single </w:t>
      </w:r>
      <w:r w:rsidR="00E91FF1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S-57 ENC </w:t>
      </w: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>product.</w:t>
      </w:r>
      <w:r w:rsidR="00E91FF1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This is normally achieved by using 3 different M_CSCL features plus the scale value corresponding to CSCL of the product (metadata).</w:t>
      </w:r>
      <w:r w:rsidR="00E91FF1">
        <w:rPr>
          <w:rFonts w:ascii="Arial Narrow" w:hAnsi="Arial Narrow" w:cs="Arial"/>
          <w:color w:val="000000"/>
          <w:sz w:val="22"/>
          <w:szCs w:val="22"/>
          <w:lang w:val="en-AU" w:eastAsia="de-DE"/>
        </w:rPr>
        <w:br/>
      </w:r>
    </w:p>
    <w:p w:rsidR="004E7407" w:rsidRDefault="006601BF" w:rsidP="00C310AF">
      <w:pPr>
        <w:rPr>
          <w:rFonts w:ascii="Arial Narrow" w:hAnsi="Arial Narrow" w:cs="Arial"/>
          <w:color w:val="000000"/>
          <w:sz w:val="22"/>
          <w:szCs w:val="22"/>
          <w:lang w:val="en-AU" w:eastAsia="de-DE"/>
        </w:rPr>
      </w:pP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Below is a summary of the number of </w:t>
      </w:r>
      <w:r w:rsidR="004E7407">
        <w:rPr>
          <w:rFonts w:ascii="Arial Narrow" w:hAnsi="Arial Narrow" w:cs="Arial"/>
          <w:color w:val="000000"/>
          <w:sz w:val="22"/>
          <w:szCs w:val="22"/>
          <w:lang w:val="en-AU" w:eastAsia="de-DE"/>
        </w:rPr>
        <w:t>M_CSCL per usage</w:t>
      </w:r>
      <w:r w:rsidR="00E91FF1">
        <w:rPr>
          <w:rFonts w:ascii="Arial Narrow" w:hAnsi="Arial Narrow" w:cs="Arial"/>
          <w:color w:val="000000"/>
          <w:sz w:val="22"/>
          <w:szCs w:val="22"/>
          <w:lang w:val="en-AU" w:eastAsia="de-DE"/>
        </w:rPr>
        <w:t>.</w:t>
      </w:r>
    </w:p>
    <w:p w:rsidR="006601BF" w:rsidRPr="006601BF" w:rsidRDefault="006601BF" w:rsidP="006601BF">
      <w:r w:rsidRPr="006601BF">
        <w:t>+---------------------------+</w:t>
      </w:r>
    </w:p>
    <w:p w:rsidR="006601BF" w:rsidRPr="006601BF" w:rsidRDefault="006601BF" w:rsidP="006601BF">
      <w:r w:rsidRPr="006601BF">
        <w:t>|Usage | M_CSCL C</w:t>
      </w:r>
      <w:r>
        <w:t>ou</w:t>
      </w:r>
      <w:r w:rsidRPr="006601BF">
        <w:t>nt    |</w:t>
      </w:r>
    </w:p>
    <w:p w:rsidR="006601BF" w:rsidRPr="006601BF" w:rsidRDefault="006601BF" w:rsidP="006601BF">
      <w:r w:rsidRPr="006601BF">
        <w:t>+---------------------------+</w:t>
      </w:r>
    </w:p>
    <w:p w:rsidR="006601BF" w:rsidRPr="006601BF" w:rsidRDefault="006601BF" w:rsidP="006601BF">
      <w:r w:rsidRPr="006601BF">
        <w:t>| AU1    | 0                          |</w:t>
      </w:r>
    </w:p>
    <w:p w:rsidR="006601BF" w:rsidRPr="006601BF" w:rsidRDefault="006601BF" w:rsidP="006601BF">
      <w:r w:rsidRPr="006601BF">
        <w:t>| AU2    | 1                          |</w:t>
      </w:r>
    </w:p>
    <w:p w:rsidR="006601BF" w:rsidRPr="006601BF" w:rsidRDefault="006601BF" w:rsidP="006601BF">
      <w:r w:rsidRPr="006601BF">
        <w:t>| AU3    | 115                      |</w:t>
      </w:r>
    </w:p>
    <w:p w:rsidR="006601BF" w:rsidRPr="006601BF" w:rsidRDefault="006601BF" w:rsidP="006601BF">
      <w:r w:rsidRPr="006601BF">
        <w:t>| AU4    | 360                      |</w:t>
      </w:r>
    </w:p>
    <w:p w:rsidR="006601BF" w:rsidRPr="006601BF" w:rsidRDefault="006601BF" w:rsidP="006601BF">
      <w:r w:rsidRPr="006601BF">
        <w:t>| AU5    | 80                        |</w:t>
      </w:r>
    </w:p>
    <w:tbl>
      <w:tblPr>
        <w:tblW w:w="0" w:type="auto"/>
        <w:tblInd w:w="17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430"/>
      </w:tblGrid>
      <w:tr w:rsidR="006601BF" w:rsidTr="00A14747">
        <w:tc>
          <w:tcPr>
            <w:tcW w:w="2430" w:type="dxa"/>
          </w:tcPr>
          <w:p w:rsidR="006601BF" w:rsidRDefault="006601BF" w:rsidP="00A14747">
            <w:pPr>
              <w:rPr>
                <w:rFonts w:ascii="Arial Narrow" w:hAnsi="Arial Narrow" w:cs="Arial"/>
                <w:sz w:val="22"/>
                <w:szCs w:val="22"/>
                <w:lang w:val="en-AU" w:eastAsia="de-DE"/>
              </w:rPr>
            </w:pPr>
          </w:p>
        </w:tc>
      </w:tr>
    </w:tbl>
    <w:p w:rsidR="004E7407" w:rsidRDefault="004E7407" w:rsidP="004E7407">
      <w:pPr>
        <w:rPr>
          <w:rFonts w:ascii="Arial Narrow" w:hAnsi="Arial Narrow" w:cs="Arial"/>
          <w:color w:val="000000"/>
          <w:sz w:val="22"/>
          <w:szCs w:val="22"/>
          <w:lang w:val="en-AU" w:eastAsia="de-DE"/>
        </w:rPr>
      </w:pP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The following table focus on the number of ENC products currently containing 3 or more M_CSCL objects (remember that M_COVR would be converted to a </w:t>
      </w:r>
      <w:proofErr w:type="spellStart"/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>DataCoverage</w:t>
      </w:r>
      <w:proofErr w:type="spellEnd"/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feature as well</w:t>
      </w:r>
      <w:r w:rsidR="00E91FF1">
        <w:rPr>
          <w:rFonts w:ascii="Arial Narrow" w:hAnsi="Arial Narrow" w:cs="Arial"/>
          <w:color w:val="000000"/>
          <w:sz w:val="22"/>
          <w:szCs w:val="22"/>
          <w:lang w:val="en-AU" w:eastAsia="de-DE"/>
        </w:rPr>
        <w:t>,</w:t>
      </w: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and the total number of these features in</w:t>
      </w:r>
      <w:r w:rsidR="00E91FF1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the resulting</w:t>
      </w: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S-101 ENC would increase by one):</w:t>
      </w:r>
    </w:p>
    <w:p w:rsidR="004E7407" w:rsidRDefault="004E7407" w:rsidP="004E7407">
      <w:pPr>
        <w:rPr>
          <w:rFonts w:ascii="Arial Narrow" w:hAnsi="Arial Narrow" w:cs="Arial"/>
          <w:color w:val="000000"/>
          <w:sz w:val="22"/>
          <w:szCs w:val="22"/>
          <w:lang w:val="en-AU" w:eastAsia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3100"/>
      </w:tblGrid>
      <w:tr w:rsidR="004E7407" w:rsidRPr="006601BF" w:rsidTr="006601BF">
        <w:tc>
          <w:tcPr>
            <w:tcW w:w="3100" w:type="dxa"/>
          </w:tcPr>
          <w:p w:rsidR="004E7407" w:rsidRDefault="004E7407" w:rsidP="006601BF">
            <w:pPr>
              <w:jc w:val="center"/>
              <w:rPr>
                <w:rFonts w:ascii="Arial Narrow" w:hAnsi="Arial Narrow" w:cs="Arial"/>
                <w:b/>
                <w:color w:val="000000"/>
                <w:sz w:val="22"/>
                <w:szCs w:val="22"/>
                <w:lang w:val="en-AU" w:eastAsia="de-DE"/>
              </w:rPr>
            </w:pPr>
            <w:r w:rsidRPr="006601BF">
              <w:rPr>
                <w:rFonts w:ascii="Arial Narrow" w:hAnsi="Arial Narrow" w:cs="Arial"/>
                <w:b/>
                <w:color w:val="000000"/>
                <w:sz w:val="22"/>
                <w:szCs w:val="22"/>
                <w:lang w:val="en-AU" w:eastAsia="de-DE"/>
              </w:rPr>
              <w:t>Number of M_CSCL objects</w:t>
            </w:r>
          </w:p>
          <w:p w:rsidR="004E7407" w:rsidRPr="004E7407" w:rsidRDefault="004E7407" w:rsidP="004E7407">
            <w:pPr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AU" w:eastAsia="de-DE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AU" w:eastAsia="de-DE"/>
              </w:rPr>
              <w:t>(Note that an M_CSCL objet could be split in two but refer to the same CSCALE value. e.g. See 45000 M_CSCALE object in AU411142 example above)</w:t>
            </w:r>
          </w:p>
        </w:tc>
        <w:tc>
          <w:tcPr>
            <w:tcW w:w="3100" w:type="dxa"/>
          </w:tcPr>
          <w:p w:rsidR="004E7407" w:rsidRDefault="004E7407" w:rsidP="004E7407">
            <w:pPr>
              <w:jc w:val="center"/>
              <w:rPr>
                <w:rFonts w:ascii="Arial Narrow" w:hAnsi="Arial Narrow" w:cs="Arial"/>
                <w:b/>
                <w:color w:val="000000"/>
                <w:sz w:val="22"/>
                <w:szCs w:val="22"/>
                <w:lang w:val="en-AU" w:eastAsia="de-DE"/>
              </w:rPr>
            </w:pPr>
          </w:p>
          <w:p w:rsidR="004E7407" w:rsidRPr="006601BF" w:rsidRDefault="004E7407" w:rsidP="004E7407">
            <w:pPr>
              <w:jc w:val="center"/>
              <w:rPr>
                <w:rFonts w:ascii="Arial Narrow" w:hAnsi="Arial Narrow" w:cs="Arial"/>
                <w:b/>
                <w:color w:val="000000"/>
                <w:sz w:val="22"/>
                <w:szCs w:val="22"/>
                <w:lang w:val="en-AU" w:eastAsia="de-DE"/>
              </w:rPr>
            </w:pPr>
            <w:r w:rsidRPr="006601BF">
              <w:rPr>
                <w:rFonts w:ascii="Arial Narrow" w:hAnsi="Arial Narrow" w:cs="Arial"/>
                <w:b/>
                <w:color w:val="000000"/>
                <w:sz w:val="22"/>
                <w:szCs w:val="22"/>
                <w:lang w:val="en-AU" w:eastAsia="de-DE"/>
              </w:rPr>
              <w:t xml:space="preserve">Number of </w:t>
            </w:r>
            <w:r>
              <w:rPr>
                <w:rFonts w:ascii="Arial Narrow" w:hAnsi="Arial Narrow" w:cs="Arial"/>
                <w:b/>
                <w:color w:val="000000"/>
                <w:sz w:val="22"/>
                <w:szCs w:val="22"/>
                <w:lang w:val="en-AU" w:eastAsia="de-DE"/>
              </w:rPr>
              <w:t>ENCs</w:t>
            </w:r>
          </w:p>
        </w:tc>
      </w:tr>
      <w:tr w:rsidR="004E7407" w:rsidTr="006601BF">
        <w:tc>
          <w:tcPr>
            <w:tcW w:w="3100" w:type="dxa"/>
          </w:tcPr>
          <w:p w:rsidR="004E7407" w:rsidRDefault="004E7407" w:rsidP="006601BF">
            <w:pPr>
              <w:jc w:val="center"/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  <w:t>6</w:t>
            </w:r>
          </w:p>
        </w:tc>
        <w:tc>
          <w:tcPr>
            <w:tcW w:w="3100" w:type="dxa"/>
          </w:tcPr>
          <w:p w:rsidR="004E7407" w:rsidRDefault="004E7407" w:rsidP="006601BF">
            <w:pPr>
              <w:jc w:val="center"/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  <w:t>2</w:t>
            </w:r>
          </w:p>
        </w:tc>
      </w:tr>
      <w:tr w:rsidR="004E7407" w:rsidTr="006601BF">
        <w:tc>
          <w:tcPr>
            <w:tcW w:w="3100" w:type="dxa"/>
          </w:tcPr>
          <w:p w:rsidR="004E7407" w:rsidRDefault="004E7407" w:rsidP="006601BF">
            <w:pPr>
              <w:jc w:val="center"/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  <w:t>5</w:t>
            </w:r>
          </w:p>
        </w:tc>
        <w:tc>
          <w:tcPr>
            <w:tcW w:w="3100" w:type="dxa"/>
          </w:tcPr>
          <w:p w:rsidR="004E7407" w:rsidRDefault="004E7407" w:rsidP="006601BF">
            <w:pPr>
              <w:jc w:val="center"/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  <w:t>2</w:t>
            </w:r>
          </w:p>
        </w:tc>
      </w:tr>
      <w:tr w:rsidR="004E7407" w:rsidTr="006601BF">
        <w:tc>
          <w:tcPr>
            <w:tcW w:w="3100" w:type="dxa"/>
          </w:tcPr>
          <w:p w:rsidR="004E7407" w:rsidRDefault="004E7407" w:rsidP="006601BF">
            <w:pPr>
              <w:jc w:val="center"/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  <w:t>4</w:t>
            </w:r>
          </w:p>
        </w:tc>
        <w:tc>
          <w:tcPr>
            <w:tcW w:w="3100" w:type="dxa"/>
          </w:tcPr>
          <w:p w:rsidR="004E7407" w:rsidRDefault="004E7407" w:rsidP="006601BF">
            <w:pPr>
              <w:jc w:val="center"/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  <w:t>14</w:t>
            </w:r>
          </w:p>
        </w:tc>
      </w:tr>
      <w:tr w:rsidR="004E7407" w:rsidTr="004E7407">
        <w:tc>
          <w:tcPr>
            <w:tcW w:w="3100" w:type="dxa"/>
            <w:tcBorders>
              <w:bottom w:val="single" w:sz="4" w:space="0" w:color="auto"/>
            </w:tcBorders>
          </w:tcPr>
          <w:p w:rsidR="004E7407" w:rsidRDefault="004E7407" w:rsidP="006601BF">
            <w:pPr>
              <w:jc w:val="center"/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  <w:t>3</w:t>
            </w:r>
          </w:p>
        </w:tc>
        <w:tc>
          <w:tcPr>
            <w:tcW w:w="3100" w:type="dxa"/>
          </w:tcPr>
          <w:p w:rsidR="004E7407" w:rsidRDefault="004E7407" w:rsidP="006601BF">
            <w:pPr>
              <w:jc w:val="center"/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  <w:t>29</w:t>
            </w:r>
          </w:p>
        </w:tc>
      </w:tr>
      <w:tr w:rsidR="004E7407" w:rsidTr="004E7407">
        <w:tc>
          <w:tcPr>
            <w:tcW w:w="3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E7407" w:rsidRDefault="004E7407" w:rsidP="006601BF">
            <w:pPr>
              <w:jc w:val="center"/>
              <w:rPr>
                <w:rFonts w:ascii="Arial Narrow" w:hAnsi="Arial Narrow" w:cs="Arial"/>
                <w:color w:val="000000"/>
                <w:sz w:val="22"/>
                <w:szCs w:val="22"/>
                <w:lang w:val="en-AU" w:eastAsia="de-DE"/>
              </w:rPr>
            </w:pPr>
          </w:p>
        </w:tc>
        <w:tc>
          <w:tcPr>
            <w:tcW w:w="3100" w:type="dxa"/>
            <w:tcBorders>
              <w:left w:val="single" w:sz="4" w:space="0" w:color="auto"/>
            </w:tcBorders>
          </w:tcPr>
          <w:p w:rsidR="004E7407" w:rsidRPr="004E7407" w:rsidRDefault="004E7407" w:rsidP="006601BF">
            <w:pPr>
              <w:jc w:val="center"/>
              <w:rPr>
                <w:rFonts w:ascii="Arial Narrow" w:hAnsi="Arial Narrow" w:cs="Arial"/>
                <w:b/>
                <w:color w:val="000000"/>
                <w:sz w:val="22"/>
                <w:szCs w:val="22"/>
                <w:lang w:val="en-AU" w:eastAsia="de-DE"/>
              </w:rPr>
            </w:pPr>
            <w:r>
              <w:rPr>
                <w:rFonts w:ascii="Arial Narrow" w:hAnsi="Arial Narrow" w:cs="Arial"/>
                <w:b/>
                <w:color w:val="984806" w:themeColor="accent6" w:themeShade="80"/>
                <w:sz w:val="22"/>
                <w:szCs w:val="22"/>
                <w:lang w:val="en-AU" w:eastAsia="de-DE"/>
              </w:rPr>
              <w:t xml:space="preserve">TOTAL = </w:t>
            </w:r>
            <w:r w:rsidRPr="004E7407">
              <w:rPr>
                <w:rFonts w:ascii="Arial Narrow" w:hAnsi="Arial Narrow" w:cs="Arial"/>
                <w:b/>
                <w:color w:val="984806" w:themeColor="accent6" w:themeShade="80"/>
                <w:sz w:val="22"/>
                <w:szCs w:val="22"/>
                <w:lang w:val="en-AU" w:eastAsia="de-DE"/>
              </w:rPr>
              <w:t>47</w:t>
            </w:r>
          </w:p>
        </w:tc>
      </w:tr>
    </w:tbl>
    <w:p w:rsidR="006601BF" w:rsidRPr="006601BF" w:rsidRDefault="006601BF" w:rsidP="006601BF">
      <w:pPr>
        <w:rPr>
          <w:rFonts w:ascii="Arial Narrow" w:hAnsi="Arial Narrow" w:cs="Arial"/>
          <w:sz w:val="22"/>
          <w:szCs w:val="22"/>
          <w:lang w:val="en-AU" w:eastAsia="de-DE"/>
        </w:rPr>
      </w:pPr>
    </w:p>
    <w:p w:rsidR="004D3E16" w:rsidRPr="0079229B" w:rsidRDefault="004F5A06" w:rsidP="0079229B">
      <w:pPr>
        <w:pStyle w:val="Heading2"/>
        <w:rPr>
          <w:szCs w:val="22"/>
        </w:rPr>
      </w:pPr>
      <w:r w:rsidRPr="00F543C9">
        <w:rPr>
          <w:szCs w:val="22"/>
        </w:rPr>
        <w:t>Conclusions</w:t>
      </w:r>
      <w:r w:rsidR="004D3E16" w:rsidRPr="0079229B">
        <w:rPr>
          <w:szCs w:val="22"/>
        </w:rPr>
        <w:br/>
      </w:r>
    </w:p>
    <w:p w:rsidR="00E44C7C" w:rsidRPr="00BB58FB" w:rsidRDefault="00C310AF" w:rsidP="00BB58FB">
      <w:pPr>
        <w:pStyle w:val="ListParagraph"/>
        <w:numPr>
          <w:ilvl w:val="0"/>
          <w:numId w:val="7"/>
        </w:numPr>
        <w:spacing w:before="120"/>
        <w:rPr>
          <w:rFonts w:ascii="Arial Narrow" w:hAnsi="Arial Narrow"/>
          <w:sz w:val="22"/>
          <w:szCs w:val="22"/>
          <w:lang w:val="en-AU"/>
        </w:rPr>
      </w:pPr>
      <w:r w:rsidRPr="00BB58FB">
        <w:rPr>
          <w:rFonts w:ascii="Arial Narrow" w:hAnsi="Arial Narrow"/>
          <w:sz w:val="22"/>
          <w:szCs w:val="22"/>
          <w:lang w:val="en-AU"/>
        </w:rPr>
        <w:t xml:space="preserve">The S-57 to S101 converter </w:t>
      </w:r>
      <w:r w:rsidR="004D3E16" w:rsidRPr="00BB58FB">
        <w:rPr>
          <w:rFonts w:ascii="Arial Narrow" w:hAnsi="Arial Narrow"/>
          <w:sz w:val="22"/>
          <w:szCs w:val="22"/>
          <w:lang w:val="en-AU"/>
        </w:rPr>
        <w:t>creates overlapping ‘</w:t>
      </w:r>
      <w:proofErr w:type="spellStart"/>
      <w:r w:rsidR="004D3E16" w:rsidRPr="00BB58FB">
        <w:rPr>
          <w:rFonts w:ascii="Arial Narrow" w:hAnsi="Arial Narrow"/>
          <w:sz w:val="22"/>
          <w:szCs w:val="22"/>
          <w:lang w:val="en-AU"/>
        </w:rPr>
        <w:t>DataCoverage</w:t>
      </w:r>
      <w:proofErr w:type="spellEnd"/>
      <w:r w:rsidR="004D3E16" w:rsidRPr="00BB58FB">
        <w:rPr>
          <w:rFonts w:ascii="Arial Narrow" w:hAnsi="Arial Narrow"/>
          <w:sz w:val="22"/>
          <w:szCs w:val="22"/>
          <w:lang w:val="en-AU"/>
        </w:rPr>
        <w:t>’ features when at least one M_CSCL object exists in an ENC.</w:t>
      </w:r>
    </w:p>
    <w:p w:rsidR="00C310AF" w:rsidRPr="00BB58FB" w:rsidRDefault="00E44C7C" w:rsidP="00BB58FB">
      <w:pPr>
        <w:pStyle w:val="ListParagraph"/>
        <w:numPr>
          <w:ilvl w:val="0"/>
          <w:numId w:val="7"/>
        </w:numPr>
        <w:spacing w:before="120"/>
        <w:rPr>
          <w:rFonts w:ascii="Arial Narrow" w:hAnsi="Arial Narrow"/>
          <w:sz w:val="22"/>
          <w:szCs w:val="22"/>
          <w:lang w:val="en-AU"/>
        </w:rPr>
      </w:pPr>
      <w:r w:rsidRPr="00BB58FB">
        <w:rPr>
          <w:rFonts w:ascii="Arial Narrow" w:hAnsi="Arial Narrow"/>
          <w:sz w:val="22"/>
          <w:szCs w:val="22"/>
          <w:lang w:val="en-AU"/>
        </w:rPr>
        <w:t>The S-57 to S101 converter ‘rounds’ S-57 scale values if they do not match the IHO recommended ones.</w:t>
      </w:r>
      <w:r w:rsidR="00115131">
        <w:rPr>
          <w:rFonts w:ascii="Arial Narrow" w:hAnsi="Arial Narrow"/>
          <w:sz w:val="22"/>
          <w:szCs w:val="22"/>
          <w:lang w:val="en-AU"/>
        </w:rPr>
        <w:t xml:space="preserve"> The AHO thinks the ‘converter’ must not change compilation scale values automatically and it should issue a warning for the HO to check/confirm instead. </w:t>
      </w:r>
    </w:p>
    <w:p w:rsidR="00BB58FB" w:rsidRPr="00BB58FB" w:rsidRDefault="005400D8" w:rsidP="00BB58FB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AU"/>
        </w:rPr>
      </w:pPr>
      <w:r w:rsidRPr="00BB58FB">
        <w:rPr>
          <w:rFonts w:ascii="Arial Narrow" w:hAnsi="Arial Narrow"/>
          <w:sz w:val="22"/>
          <w:szCs w:val="22"/>
          <w:lang w:val="en-AU"/>
        </w:rPr>
        <w:t>Unless there’s strong evidence of a negative impact on ECDIS performance, t</w:t>
      </w:r>
      <w:r w:rsidR="00C310AF" w:rsidRPr="00BB58FB">
        <w:rPr>
          <w:rFonts w:ascii="Arial Narrow" w:hAnsi="Arial Narrow"/>
          <w:sz w:val="22"/>
          <w:szCs w:val="22"/>
          <w:lang w:val="en-AU"/>
        </w:rPr>
        <w:t xml:space="preserve">he AHO would like to </w:t>
      </w:r>
      <w:r w:rsidR="00E44C7C" w:rsidRPr="00BB58FB">
        <w:rPr>
          <w:rFonts w:ascii="Arial Narrow" w:hAnsi="Arial Narrow"/>
          <w:sz w:val="22"/>
          <w:szCs w:val="22"/>
          <w:lang w:val="en-AU"/>
        </w:rPr>
        <w:t xml:space="preserve">see the current statement regarding </w:t>
      </w:r>
      <w:r w:rsidR="00C310AF" w:rsidRPr="00BB58FB">
        <w:rPr>
          <w:rFonts w:ascii="Arial Narrow" w:hAnsi="Arial Narrow"/>
          <w:sz w:val="22"/>
          <w:szCs w:val="22"/>
          <w:lang w:val="en-AU"/>
        </w:rPr>
        <w:t>the maximum allowed number of S-101 ‘</w:t>
      </w:r>
      <w:proofErr w:type="spellStart"/>
      <w:r w:rsidR="00C310AF" w:rsidRPr="00BB58FB">
        <w:rPr>
          <w:rFonts w:ascii="Arial Narrow" w:hAnsi="Arial Narrow"/>
          <w:sz w:val="22"/>
          <w:szCs w:val="22"/>
          <w:lang w:val="en-AU"/>
        </w:rPr>
        <w:t>DataCoverage</w:t>
      </w:r>
      <w:proofErr w:type="spellEnd"/>
      <w:r w:rsidR="00C310AF" w:rsidRPr="00BB58FB">
        <w:rPr>
          <w:rFonts w:ascii="Arial Narrow" w:hAnsi="Arial Narrow"/>
          <w:sz w:val="22"/>
          <w:szCs w:val="22"/>
          <w:lang w:val="en-AU"/>
        </w:rPr>
        <w:t>’ features</w:t>
      </w:r>
      <w:r w:rsidR="00BB58FB" w:rsidRPr="00BB58FB">
        <w:rPr>
          <w:rFonts w:ascii="Arial Narrow" w:hAnsi="Arial Narrow"/>
          <w:sz w:val="22"/>
          <w:szCs w:val="22"/>
          <w:lang w:val="en-AU"/>
        </w:rPr>
        <w:t>:</w:t>
      </w:r>
    </w:p>
    <w:p w:rsidR="00BB58FB" w:rsidRDefault="00E44C7C" w:rsidP="00BB58FB">
      <w:pPr>
        <w:pStyle w:val="ListParagraph"/>
        <w:numPr>
          <w:ilvl w:val="1"/>
          <w:numId w:val="8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completely removed from the DCEG</w:t>
      </w:r>
      <w:r w:rsidR="00BB58FB">
        <w:rPr>
          <w:rFonts w:ascii="Arial Narrow" w:hAnsi="Arial Narrow"/>
          <w:sz w:val="22"/>
          <w:szCs w:val="22"/>
          <w:lang w:val="en-AU"/>
        </w:rPr>
        <w:t xml:space="preserve"> or</w:t>
      </w:r>
    </w:p>
    <w:p w:rsidR="00C310AF" w:rsidRPr="00BB58FB" w:rsidRDefault="00E44C7C" w:rsidP="00BB58FB">
      <w:pPr>
        <w:pStyle w:val="ListParagraph"/>
        <w:numPr>
          <w:ilvl w:val="1"/>
          <w:numId w:val="8"/>
        </w:numPr>
        <w:rPr>
          <w:rFonts w:ascii="Arial Narrow" w:hAnsi="Arial Narrow"/>
          <w:sz w:val="22"/>
          <w:szCs w:val="22"/>
          <w:lang w:val="en-AU"/>
        </w:rPr>
      </w:pPr>
      <w:proofErr w:type="gramStart"/>
      <w:r>
        <w:rPr>
          <w:rFonts w:ascii="Arial Narrow" w:hAnsi="Arial Narrow"/>
          <w:sz w:val="22"/>
          <w:szCs w:val="22"/>
          <w:lang w:val="en-AU"/>
        </w:rPr>
        <w:t>amended</w:t>
      </w:r>
      <w:proofErr w:type="gramEnd"/>
      <w:r>
        <w:rPr>
          <w:rFonts w:ascii="Arial Narrow" w:hAnsi="Arial Narrow"/>
          <w:sz w:val="22"/>
          <w:szCs w:val="22"/>
          <w:lang w:val="en-AU"/>
        </w:rPr>
        <w:t xml:space="preserve"> to</w:t>
      </w:r>
      <w:r w:rsidR="005400D8">
        <w:rPr>
          <w:rFonts w:ascii="Arial Narrow" w:hAnsi="Arial Narrow"/>
          <w:sz w:val="22"/>
          <w:szCs w:val="22"/>
          <w:lang w:val="en-AU"/>
        </w:rPr>
        <w:t>:</w:t>
      </w:r>
      <w:r w:rsidR="005400D8">
        <w:rPr>
          <w:rFonts w:ascii="Arial Narrow" w:hAnsi="Arial Narrow"/>
          <w:sz w:val="22"/>
          <w:szCs w:val="22"/>
          <w:lang w:val="en-AU"/>
        </w:rPr>
        <w:br/>
      </w:r>
      <w:r w:rsidR="005400D8">
        <w:rPr>
          <w:rFonts w:ascii="Arial Narrow" w:hAnsi="Arial Narrow"/>
          <w:sz w:val="22"/>
          <w:szCs w:val="22"/>
        </w:rPr>
        <w:br/>
      </w:r>
      <w:r w:rsidR="005400D8">
        <w:rPr>
          <w:sz w:val="20"/>
          <w:szCs w:val="20"/>
        </w:rPr>
        <w:t>‘</w:t>
      </w:r>
      <w:r w:rsidR="005400D8" w:rsidRPr="00C004ED">
        <w:rPr>
          <w:i/>
          <w:sz w:val="20"/>
          <w:szCs w:val="20"/>
        </w:rPr>
        <w:t xml:space="preserve">Producing Authorities are to note, however, that excessive use of multiple </w:t>
      </w:r>
      <w:r w:rsidR="005400D8" w:rsidRPr="00497221">
        <w:rPr>
          <w:bCs/>
          <w:i/>
          <w:sz w:val="20"/>
          <w:szCs w:val="20"/>
        </w:rPr>
        <w:t>Data Coverage</w:t>
      </w:r>
      <w:r w:rsidR="005400D8" w:rsidRPr="00C004ED">
        <w:rPr>
          <w:b/>
          <w:bCs/>
          <w:i/>
          <w:sz w:val="20"/>
          <w:szCs w:val="20"/>
        </w:rPr>
        <w:t xml:space="preserve"> </w:t>
      </w:r>
      <w:r w:rsidR="005400D8" w:rsidRPr="00C004ED">
        <w:rPr>
          <w:i/>
          <w:sz w:val="20"/>
          <w:szCs w:val="20"/>
        </w:rPr>
        <w:t xml:space="preserve">features having different values of </w:t>
      </w:r>
      <w:r w:rsidR="005400D8" w:rsidRPr="00497221">
        <w:rPr>
          <w:bCs/>
          <w:i/>
          <w:sz w:val="20"/>
          <w:szCs w:val="20"/>
        </w:rPr>
        <w:t>maximum display scale</w:t>
      </w:r>
      <w:r w:rsidR="005400D8" w:rsidRPr="00C004ED">
        <w:rPr>
          <w:b/>
          <w:bCs/>
          <w:i/>
          <w:sz w:val="20"/>
          <w:szCs w:val="20"/>
        </w:rPr>
        <w:t xml:space="preserve"> </w:t>
      </w:r>
      <w:r w:rsidR="005400D8" w:rsidRPr="00C004ED">
        <w:rPr>
          <w:i/>
          <w:sz w:val="20"/>
          <w:szCs w:val="20"/>
        </w:rPr>
        <w:t xml:space="preserve">within a single dataset </w:t>
      </w:r>
      <w:r w:rsidR="005400D8" w:rsidRPr="005400D8">
        <w:rPr>
          <w:b/>
          <w:i/>
          <w:color w:val="FF0000"/>
          <w:sz w:val="20"/>
          <w:szCs w:val="20"/>
        </w:rPr>
        <w:t>should</w:t>
      </w:r>
      <w:r w:rsidR="005400D8" w:rsidRPr="005400D8">
        <w:rPr>
          <w:i/>
          <w:color w:val="FF0000"/>
          <w:sz w:val="20"/>
          <w:szCs w:val="20"/>
        </w:rPr>
        <w:t xml:space="preserve"> </w:t>
      </w:r>
      <w:r w:rsidR="005400D8" w:rsidRPr="00C004ED">
        <w:rPr>
          <w:i/>
          <w:sz w:val="20"/>
          <w:szCs w:val="20"/>
        </w:rPr>
        <w:t>be avoided</w:t>
      </w:r>
      <w:r w:rsidR="005400D8">
        <w:rPr>
          <w:i/>
          <w:sz w:val="20"/>
          <w:szCs w:val="20"/>
        </w:rPr>
        <w:t>.</w:t>
      </w:r>
      <w:r w:rsidR="005400D8" w:rsidRPr="00C004ED">
        <w:rPr>
          <w:i/>
          <w:sz w:val="20"/>
          <w:szCs w:val="20"/>
        </w:rPr>
        <w:t xml:space="preserve"> </w:t>
      </w:r>
      <w:proofErr w:type="gramStart"/>
      <w:r w:rsidR="005400D8" w:rsidRPr="005400D8">
        <w:rPr>
          <w:i/>
          <w:strike/>
          <w:sz w:val="20"/>
          <w:szCs w:val="20"/>
        </w:rPr>
        <w:t>with</w:t>
      </w:r>
      <w:proofErr w:type="gramEnd"/>
      <w:r w:rsidR="005400D8" w:rsidRPr="005400D8">
        <w:rPr>
          <w:i/>
          <w:strike/>
          <w:sz w:val="20"/>
          <w:szCs w:val="20"/>
        </w:rPr>
        <w:t xml:space="preserve"> a maximum number of </w:t>
      </w:r>
      <w:r w:rsidR="005400D8">
        <w:rPr>
          <w:i/>
          <w:strike/>
          <w:sz w:val="20"/>
          <w:szCs w:val="20"/>
        </w:rPr>
        <w:t>3</w:t>
      </w:r>
      <w:r w:rsidR="005400D8" w:rsidRPr="005400D8">
        <w:rPr>
          <w:i/>
          <w:strike/>
          <w:sz w:val="20"/>
          <w:szCs w:val="20"/>
        </w:rPr>
        <w:t xml:space="preserve"> </w:t>
      </w:r>
      <w:r w:rsidR="005400D8" w:rsidRPr="005400D8">
        <w:rPr>
          <w:bCs/>
          <w:i/>
          <w:strike/>
          <w:sz w:val="20"/>
          <w:szCs w:val="20"/>
        </w:rPr>
        <w:t xml:space="preserve">Data Coverage </w:t>
      </w:r>
      <w:r w:rsidR="005400D8" w:rsidRPr="005400D8">
        <w:rPr>
          <w:i/>
          <w:strike/>
          <w:sz w:val="20"/>
          <w:szCs w:val="20"/>
        </w:rPr>
        <w:t>features being permitted.</w:t>
      </w:r>
      <w:r w:rsidR="005400D8" w:rsidRPr="005400D8">
        <w:rPr>
          <w:strike/>
          <w:sz w:val="20"/>
          <w:szCs w:val="20"/>
        </w:rPr>
        <w:t>’</w:t>
      </w:r>
      <w:r w:rsidR="00BB58FB">
        <w:rPr>
          <w:strike/>
          <w:sz w:val="20"/>
          <w:szCs w:val="20"/>
        </w:rPr>
        <w:br/>
      </w:r>
    </w:p>
    <w:p w:rsidR="00BB58FB" w:rsidRPr="00FC0017" w:rsidRDefault="00BB58FB" w:rsidP="00BB58FB">
      <w:pPr>
        <w:pStyle w:val="ListParagraph"/>
        <w:numPr>
          <w:ilvl w:val="1"/>
          <w:numId w:val="8"/>
        </w:numPr>
        <w:spacing w:before="120"/>
        <w:rPr>
          <w:rFonts w:ascii="Arial Narrow" w:hAnsi="Arial Narrow"/>
          <w:sz w:val="22"/>
          <w:szCs w:val="22"/>
          <w:lang w:val="en-AU"/>
        </w:rPr>
      </w:pPr>
      <w:proofErr w:type="gramStart"/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>or</w:t>
      </w:r>
      <w:proofErr w:type="gramEnd"/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, </w:t>
      </w:r>
      <w:r w:rsidRPr="00A70AB4">
        <w:rPr>
          <w:rFonts w:ascii="Arial Narrow" w:hAnsi="Arial Narrow" w:cs="Arial"/>
          <w:color w:val="000000"/>
          <w:sz w:val="22"/>
          <w:szCs w:val="22"/>
          <w:lang w:val="en-AU" w:eastAsia="de-DE"/>
        </w:rPr>
        <w:t>amend</w:t>
      </w: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the maximum number of</w:t>
      </w:r>
      <w:r w:rsidRPr="00A70AB4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</w:t>
      </w: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>‘</w:t>
      </w:r>
      <w:proofErr w:type="spellStart"/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>DataCover</w:t>
      </w:r>
      <w:r w:rsidR="00E91FF1">
        <w:rPr>
          <w:rFonts w:ascii="Arial Narrow" w:hAnsi="Arial Narrow" w:cs="Arial"/>
          <w:color w:val="000000"/>
          <w:sz w:val="22"/>
          <w:szCs w:val="22"/>
          <w:lang w:val="en-AU" w:eastAsia="de-DE"/>
        </w:rPr>
        <w:t>ag</w:t>
      </w:r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>e</w:t>
      </w:r>
      <w:proofErr w:type="spellEnd"/>
      <w:r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’ features permitted </w:t>
      </w:r>
      <w:r w:rsidRPr="00A70AB4">
        <w:rPr>
          <w:rFonts w:ascii="Arial Narrow" w:hAnsi="Arial Narrow" w:cs="Arial"/>
          <w:color w:val="000000"/>
          <w:sz w:val="22"/>
          <w:szCs w:val="22"/>
          <w:lang w:val="en-AU" w:eastAsia="de-DE"/>
        </w:rPr>
        <w:t>to ‘</w:t>
      </w:r>
      <w:r>
        <w:rPr>
          <w:rFonts w:ascii="Arial Narrow" w:hAnsi="Arial Narrow" w:cs="Arial"/>
          <w:color w:val="FF0000"/>
          <w:sz w:val="22"/>
          <w:szCs w:val="22"/>
          <w:lang w:val="en-AU" w:eastAsia="de-DE"/>
        </w:rPr>
        <w:t>4</w:t>
      </w:r>
      <w:r w:rsidRPr="00A70AB4">
        <w:rPr>
          <w:rFonts w:ascii="Arial Narrow" w:hAnsi="Arial Narrow" w:cs="Arial"/>
          <w:color w:val="000000"/>
          <w:sz w:val="22"/>
          <w:szCs w:val="22"/>
          <w:lang w:val="en-AU" w:eastAsia="de-DE"/>
        </w:rPr>
        <w:t>’</w:t>
      </w:r>
      <w:r w:rsidR="00086AA0">
        <w:rPr>
          <w:rFonts w:ascii="Arial Narrow" w:hAnsi="Arial Narrow" w:cs="Arial"/>
          <w:color w:val="000000"/>
          <w:sz w:val="22"/>
          <w:szCs w:val="22"/>
          <w:lang w:val="en-AU" w:eastAsia="de-DE"/>
        </w:rPr>
        <w:t>. Th</w:t>
      </w:r>
      <w:r w:rsidR="00FC0017">
        <w:rPr>
          <w:rFonts w:ascii="Arial Narrow" w:hAnsi="Arial Narrow" w:cs="Arial"/>
          <w:color w:val="000000"/>
          <w:sz w:val="22"/>
          <w:szCs w:val="22"/>
          <w:lang w:val="en-AU" w:eastAsia="de-DE"/>
        </w:rPr>
        <w:t>is new number would only be valid if the</w:t>
      </w:r>
      <w:r w:rsidR="00086AA0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</w:t>
      </w:r>
      <w:r w:rsidR="00FC0017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wording in the statement is changed to refer to </w:t>
      </w:r>
      <w:r w:rsidR="00FC0017" w:rsidRPr="00FC0017">
        <w:rPr>
          <w:rFonts w:ascii="Arial Narrow" w:hAnsi="Arial Narrow" w:cs="Arial"/>
          <w:color w:val="000000"/>
          <w:sz w:val="22"/>
          <w:szCs w:val="22"/>
          <w:lang w:val="en-AU" w:eastAsia="de-DE"/>
        </w:rPr>
        <w:t>the</w:t>
      </w:r>
      <w:r w:rsidR="00FC0017" w:rsidRPr="00FC0017">
        <w:rPr>
          <w:rFonts w:ascii="Arial Narrow" w:hAnsi="Arial Narrow" w:cs="Arial"/>
          <w:b/>
          <w:color w:val="000000"/>
          <w:sz w:val="22"/>
          <w:szCs w:val="22"/>
          <w:lang w:val="en-AU" w:eastAsia="de-DE"/>
        </w:rPr>
        <w:t xml:space="preserve"> maximum number of </w:t>
      </w:r>
      <w:r w:rsidR="00FC0017" w:rsidRPr="00FC0017">
        <w:rPr>
          <w:rFonts w:ascii="Arial Narrow" w:hAnsi="Arial Narrow" w:cs="Arial"/>
          <w:b/>
          <w:color w:val="000000"/>
          <w:sz w:val="22"/>
          <w:szCs w:val="22"/>
          <w:u w:val="single"/>
          <w:lang w:val="en-AU" w:eastAsia="de-DE"/>
        </w:rPr>
        <w:t>different</w:t>
      </w:r>
      <w:r w:rsidR="00FC0017" w:rsidRPr="00FC0017">
        <w:rPr>
          <w:rFonts w:ascii="Arial Narrow" w:hAnsi="Arial Narrow" w:cs="Arial"/>
          <w:b/>
          <w:color w:val="000000"/>
          <w:sz w:val="22"/>
          <w:szCs w:val="22"/>
          <w:lang w:val="en-AU" w:eastAsia="de-DE"/>
        </w:rPr>
        <w:t xml:space="preserve"> </w:t>
      </w:r>
      <w:r w:rsidR="00FC0017" w:rsidRPr="00FC0017">
        <w:rPr>
          <w:rFonts w:ascii="Arial Narrow" w:hAnsi="Arial Narrow"/>
          <w:b/>
          <w:sz w:val="22"/>
          <w:szCs w:val="22"/>
        </w:rPr>
        <w:t>‘</w:t>
      </w:r>
      <w:proofErr w:type="spellStart"/>
      <w:r w:rsidR="00FC0017" w:rsidRPr="00FC0017">
        <w:rPr>
          <w:rFonts w:ascii="Arial Narrow" w:hAnsi="Arial Narrow"/>
          <w:b/>
          <w:sz w:val="22"/>
          <w:szCs w:val="22"/>
        </w:rPr>
        <w:t>maximumDisplayScale</w:t>
      </w:r>
      <w:proofErr w:type="spellEnd"/>
      <w:r w:rsidR="00FC0017" w:rsidRPr="00FC0017">
        <w:rPr>
          <w:rFonts w:ascii="Arial Narrow" w:hAnsi="Arial Narrow"/>
          <w:b/>
          <w:sz w:val="22"/>
          <w:szCs w:val="22"/>
        </w:rPr>
        <w:t>’ (</w:t>
      </w:r>
      <w:proofErr w:type="spellStart"/>
      <w:r w:rsidR="00FC0017" w:rsidRPr="00FC0017">
        <w:rPr>
          <w:rFonts w:ascii="Arial Narrow" w:hAnsi="Arial Narrow"/>
          <w:b/>
          <w:sz w:val="22"/>
          <w:szCs w:val="22"/>
        </w:rPr>
        <w:t>maxDS</w:t>
      </w:r>
      <w:proofErr w:type="spellEnd"/>
      <w:r w:rsidR="00FC0017" w:rsidRPr="00FC0017">
        <w:rPr>
          <w:rFonts w:ascii="Arial Narrow" w:hAnsi="Arial Narrow"/>
          <w:b/>
          <w:sz w:val="22"/>
          <w:szCs w:val="22"/>
        </w:rPr>
        <w:t>) values encoded</w:t>
      </w:r>
      <w:r w:rsidR="00FC0017">
        <w:rPr>
          <w:rFonts w:ascii="Arial Narrow" w:hAnsi="Arial Narrow"/>
          <w:sz w:val="22"/>
          <w:szCs w:val="22"/>
        </w:rPr>
        <w:t xml:space="preserve"> and NOT to the total count of </w:t>
      </w:r>
      <w:proofErr w:type="spellStart"/>
      <w:r w:rsidR="00FC0017">
        <w:rPr>
          <w:rFonts w:ascii="Arial Narrow" w:hAnsi="Arial Narrow"/>
          <w:sz w:val="22"/>
          <w:szCs w:val="22"/>
        </w:rPr>
        <w:t>DataCovergae</w:t>
      </w:r>
      <w:proofErr w:type="spellEnd"/>
      <w:r w:rsidR="00FC0017">
        <w:rPr>
          <w:rFonts w:ascii="Arial Narrow" w:hAnsi="Arial Narrow"/>
          <w:sz w:val="22"/>
          <w:szCs w:val="22"/>
        </w:rPr>
        <w:t xml:space="preserve"> features</w:t>
      </w:r>
      <w:r w:rsidR="00FC0017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 present in an ENC </w:t>
      </w:r>
      <w:r w:rsidR="00FC0017">
        <w:rPr>
          <w:rFonts w:ascii="Arial Narrow" w:hAnsi="Arial Narrow"/>
          <w:sz w:val="22"/>
          <w:szCs w:val="22"/>
        </w:rPr>
        <w:t>(</w:t>
      </w:r>
      <w:proofErr w:type="spellStart"/>
      <w:r w:rsidR="00FC0017">
        <w:rPr>
          <w:rFonts w:ascii="Arial Narrow" w:hAnsi="Arial Narrow"/>
          <w:sz w:val="22"/>
          <w:szCs w:val="22"/>
        </w:rPr>
        <w:t>e.g</w:t>
      </w:r>
      <w:proofErr w:type="spellEnd"/>
      <w:r w:rsidR="00FC0017">
        <w:rPr>
          <w:rFonts w:ascii="Arial Narrow" w:hAnsi="Arial Narrow"/>
          <w:sz w:val="22"/>
          <w:szCs w:val="22"/>
        </w:rPr>
        <w:t xml:space="preserve">: 5 </w:t>
      </w:r>
      <w:proofErr w:type="spellStart"/>
      <w:r w:rsidR="00FC0017">
        <w:rPr>
          <w:rFonts w:ascii="Arial Narrow" w:hAnsi="Arial Narrow"/>
          <w:sz w:val="22"/>
          <w:szCs w:val="22"/>
        </w:rPr>
        <w:t>DataCoverage</w:t>
      </w:r>
      <w:proofErr w:type="spellEnd"/>
      <w:r w:rsidR="00FC0017">
        <w:rPr>
          <w:rFonts w:ascii="Arial Narrow" w:hAnsi="Arial Narrow"/>
          <w:sz w:val="22"/>
          <w:szCs w:val="22"/>
        </w:rPr>
        <w:t xml:space="preserve"> features but only 3 different </w:t>
      </w:r>
      <w:proofErr w:type="spellStart"/>
      <w:r w:rsidR="00FC0017">
        <w:rPr>
          <w:rFonts w:ascii="Arial Narrow" w:hAnsi="Arial Narrow"/>
          <w:sz w:val="22"/>
          <w:szCs w:val="22"/>
        </w:rPr>
        <w:t>maxDS</w:t>
      </w:r>
      <w:proofErr w:type="spellEnd"/>
      <w:r w:rsidR="00FC0017">
        <w:rPr>
          <w:rFonts w:ascii="Arial Narrow" w:hAnsi="Arial Narrow"/>
          <w:sz w:val="22"/>
          <w:szCs w:val="22"/>
        </w:rPr>
        <w:t xml:space="preserve"> values)</w:t>
      </w:r>
      <w:r w:rsidR="00FC0017">
        <w:rPr>
          <w:rFonts w:ascii="Arial Narrow" w:hAnsi="Arial Narrow" w:cs="Arial"/>
          <w:color w:val="000000"/>
          <w:sz w:val="22"/>
          <w:szCs w:val="22"/>
          <w:lang w:val="en-AU" w:eastAsia="de-DE"/>
        </w:rPr>
        <w:t xml:space="preserve">. </w:t>
      </w:r>
    </w:p>
    <w:p w:rsidR="00FC0017" w:rsidRPr="00FC0017" w:rsidRDefault="00FC0017" w:rsidP="00FC0017">
      <w:pPr>
        <w:spacing w:before="120"/>
        <w:rPr>
          <w:rFonts w:ascii="Arial Narrow" w:hAnsi="Arial Narrow"/>
          <w:sz w:val="22"/>
          <w:szCs w:val="22"/>
          <w:lang w:val="en-AU"/>
        </w:rPr>
      </w:pPr>
    </w:p>
    <w:p w:rsidR="004F5A06" w:rsidRPr="00F543C9" w:rsidRDefault="00FC0017" w:rsidP="004F5A06">
      <w:pPr>
        <w:pStyle w:val="Heading2"/>
        <w:rPr>
          <w:szCs w:val="22"/>
        </w:rPr>
      </w:pPr>
      <w:r>
        <w:rPr>
          <w:szCs w:val="22"/>
        </w:rPr>
        <w:lastRenderedPageBreak/>
        <w:br/>
      </w:r>
      <w:r w:rsidR="004F5A06" w:rsidRPr="00F543C9">
        <w:rPr>
          <w:szCs w:val="22"/>
        </w:rPr>
        <w:t>Recommendations</w:t>
      </w:r>
    </w:p>
    <w:p w:rsidR="00E44C7C" w:rsidRDefault="00E44C7C" w:rsidP="00E44C7C">
      <w:pPr>
        <w:pStyle w:val="ListParagraph"/>
        <w:numPr>
          <w:ilvl w:val="0"/>
          <w:numId w:val="5"/>
        </w:numPr>
        <w:spacing w:before="120"/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Review the way the S-57 to S-101 converter deals with M_CSCL objects.</w:t>
      </w:r>
    </w:p>
    <w:p w:rsidR="004F5A06" w:rsidRPr="00E44C7C" w:rsidRDefault="0079229B" w:rsidP="00E44C7C">
      <w:pPr>
        <w:pStyle w:val="ListParagraph"/>
        <w:numPr>
          <w:ilvl w:val="0"/>
          <w:numId w:val="5"/>
        </w:numPr>
        <w:spacing w:before="120"/>
        <w:rPr>
          <w:rFonts w:ascii="Arial Narrow" w:hAnsi="Arial Narrow"/>
          <w:sz w:val="22"/>
          <w:szCs w:val="22"/>
          <w:lang w:val="en-AU"/>
        </w:rPr>
      </w:pPr>
      <w:r w:rsidRPr="00E44C7C">
        <w:rPr>
          <w:rFonts w:ascii="Arial Narrow" w:hAnsi="Arial Narrow"/>
          <w:sz w:val="22"/>
          <w:szCs w:val="22"/>
          <w:lang w:val="en-AU"/>
        </w:rPr>
        <w:t xml:space="preserve">Amend the S-101 PS to provide more flexibility in the use of </w:t>
      </w:r>
      <w:proofErr w:type="spellStart"/>
      <w:r w:rsidRPr="00E44C7C">
        <w:rPr>
          <w:rFonts w:ascii="Arial Narrow" w:hAnsi="Arial Narrow"/>
          <w:sz w:val="22"/>
          <w:szCs w:val="22"/>
          <w:lang w:val="en-AU"/>
        </w:rPr>
        <w:t>DataCoverage</w:t>
      </w:r>
      <w:proofErr w:type="spellEnd"/>
      <w:r w:rsidRPr="00E44C7C">
        <w:rPr>
          <w:rFonts w:ascii="Arial Narrow" w:hAnsi="Arial Narrow"/>
          <w:sz w:val="22"/>
          <w:szCs w:val="22"/>
          <w:lang w:val="en-AU"/>
        </w:rPr>
        <w:t xml:space="preserve"> features.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Justifica</w:t>
      </w:r>
      <w:r w:rsidRPr="00F543C9">
        <w:rPr>
          <w:b w:val="0"/>
          <w:szCs w:val="22"/>
        </w:rPr>
        <w:t>t</w:t>
      </w:r>
      <w:r w:rsidRPr="00F543C9">
        <w:rPr>
          <w:szCs w:val="22"/>
        </w:rPr>
        <w:t>ion and Impacts</w:t>
      </w:r>
    </w:p>
    <w:p w:rsidR="004F5A06" w:rsidRPr="009939C8" w:rsidRDefault="0079229B" w:rsidP="00DA09FA">
      <w:pPr>
        <w:pStyle w:val="subpara"/>
        <w:ind w:left="0" w:firstLine="0"/>
        <w:jc w:val="left"/>
        <w:rPr>
          <w:szCs w:val="22"/>
        </w:rPr>
      </w:pPr>
      <w:r>
        <w:rPr>
          <w:szCs w:val="22"/>
        </w:rPr>
        <w:t xml:space="preserve">If action is not taken the AHO and other HO’s will have to </w:t>
      </w:r>
      <w:r w:rsidR="001B3CFD">
        <w:rPr>
          <w:szCs w:val="22"/>
        </w:rPr>
        <w:t>undertake</w:t>
      </w:r>
      <w:r>
        <w:rPr>
          <w:szCs w:val="22"/>
        </w:rPr>
        <w:t xml:space="preserve"> </w:t>
      </w:r>
      <w:r w:rsidR="001B3CFD">
        <w:rPr>
          <w:szCs w:val="22"/>
        </w:rPr>
        <w:t>very time consuming</w:t>
      </w:r>
      <w:r w:rsidR="005E3893">
        <w:rPr>
          <w:szCs w:val="22"/>
        </w:rPr>
        <w:t>,</w:t>
      </w:r>
      <w:r w:rsidR="001B3CFD">
        <w:rPr>
          <w:szCs w:val="22"/>
        </w:rPr>
        <w:t xml:space="preserve"> complex</w:t>
      </w:r>
      <w:r>
        <w:rPr>
          <w:szCs w:val="22"/>
        </w:rPr>
        <w:t xml:space="preserve"> </w:t>
      </w:r>
      <w:r w:rsidR="005E3893">
        <w:rPr>
          <w:szCs w:val="22"/>
        </w:rPr>
        <w:t xml:space="preserve">and expensive </w:t>
      </w:r>
      <w:r>
        <w:rPr>
          <w:szCs w:val="22"/>
        </w:rPr>
        <w:t xml:space="preserve">refurbishment/re-scheming activities in a large number of existing S-57 products </w:t>
      </w:r>
      <w:r w:rsidRPr="001B3CFD">
        <w:rPr>
          <w:szCs w:val="22"/>
          <w:u w:val="single"/>
        </w:rPr>
        <w:t>before</w:t>
      </w:r>
      <w:r>
        <w:rPr>
          <w:szCs w:val="22"/>
        </w:rPr>
        <w:t xml:space="preserve"> being able to </w:t>
      </w:r>
      <w:r w:rsidR="001B3CFD">
        <w:rPr>
          <w:szCs w:val="22"/>
        </w:rPr>
        <w:t xml:space="preserve">successfully </w:t>
      </w:r>
      <w:r>
        <w:rPr>
          <w:szCs w:val="22"/>
        </w:rPr>
        <w:t>migrate them into S-101 products.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 xml:space="preserve">Action Required </w:t>
      </w:r>
    </w:p>
    <w:p w:rsidR="004F5A06" w:rsidRPr="000D3126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0D3126">
        <w:rPr>
          <w:rFonts w:ascii="Arial Narrow" w:hAnsi="Arial Narrow"/>
          <w:sz w:val="22"/>
          <w:szCs w:val="22"/>
          <w:lang w:val="en-AU"/>
        </w:rPr>
        <w:t xml:space="preserve">The </w:t>
      </w:r>
      <w:r w:rsidR="0079229B">
        <w:rPr>
          <w:rFonts w:ascii="Arial Narrow" w:hAnsi="Arial Narrow"/>
          <w:sz w:val="22"/>
          <w:szCs w:val="22"/>
          <w:lang w:val="en-AU"/>
        </w:rPr>
        <w:t>S-101PT</w:t>
      </w:r>
      <w:r w:rsidRPr="000D3126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4F5A06" w:rsidRPr="000D3126" w:rsidRDefault="004F5A06" w:rsidP="004F5A06">
      <w:pPr>
        <w:pStyle w:val="subpara"/>
        <w:rPr>
          <w:szCs w:val="22"/>
        </w:rPr>
      </w:pPr>
      <w:proofErr w:type="gramStart"/>
      <w:r w:rsidRPr="000D3126">
        <w:rPr>
          <w:szCs w:val="22"/>
        </w:rPr>
        <w:t>a</w:t>
      </w:r>
      <w:proofErr w:type="gramEnd"/>
      <w:r w:rsidRPr="000D3126">
        <w:rPr>
          <w:szCs w:val="22"/>
        </w:rPr>
        <w:t>.</w:t>
      </w:r>
      <w:r w:rsidRPr="000D3126">
        <w:rPr>
          <w:szCs w:val="22"/>
        </w:rPr>
        <w:tab/>
      </w:r>
      <w:r w:rsidR="000D3126" w:rsidRPr="000D3126">
        <w:rPr>
          <w:szCs w:val="22"/>
        </w:rPr>
        <w:t>di</w:t>
      </w:r>
      <w:r w:rsidR="000D3126">
        <w:rPr>
          <w:szCs w:val="22"/>
        </w:rPr>
        <w:t>scuss the content of this paper,</w:t>
      </w:r>
    </w:p>
    <w:p w:rsidR="004F5A06" w:rsidRPr="000D3126" w:rsidRDefault="004F5A06" w:rsidP="004F5A06">
      <w:pPr>
        <w:pStyle w:val="subpara"/>
        <w:rPr>
          <w:szCs w:val="22"/>
        </w:rPr>
      </w:pPr>
      <w:proofErr w:type="gramStart"/>
      <w:r w:rsidRPr="000D3126">
        <w:rPr>
          <w:szCs w:val="22"/>
        </w:rPr>
        <w:t>b</w:t>
      </w:r>
      <w:proofErr w:type="gramEnd"/>
      <w:r w:rsidRPr="000D3126">
        <w:rPr>
          <w:szCs w:val="22"/>
        </w:rPr>
        <w:t>.</w:t>
      </w:r>
      <w:r w:rsidRPr="000D3126">
        <w:rPr>
          <w:szCs w:val="22"/>
        </w:rPr>
        <w:tab/>
      </w:r>
      <w:r w:rsidR="001B3CFD">
        <w:rPr>
          <w:szCs w:val="22"/>
        </w:rPr>
        <w:t>accept the recommendations</w:t>
      </w:r>
      <w:r w:rsidRPr="000D3126">
        <w:rPr>
          <w:szCs w:val="22"/>
        </w:rPr>
        <w:t xml:space="preserve">  </w:t>
      </w:r>
    </w:p>
    <w:p w:rsidR="00471D45" w:rsidRPr="000D3126" w:rsidRDefault="00471D45" w:rsidP="000D3126">
      <w:pPr>
        <w:pStyle w:val="subpara"/>
        <w:rPr>
          <w:szCs w:val="22"/>
          <w:lang w:val="fr-FR"/>
        </w:rPr>
      </w:pPr>
    </w:p>
    <w:p w:rsidR="00E71C78" w:rsidRDefault="00E71C78" w:rsidP="00E71C78">
      <w:pPr>
        <w:pStyle w:val="subpara"/>
        <w:ind w:left="0" w:firstLine="0"/>
        <w:jc w:val="left"/>
        <w:rPr>
          <w:b/>
          <w:szCs w:val="22"/>
        </w:rPr>
      </w:pPr>
    </w:p>
    <w:p w:rsidR="00E71C78" w:rsidRPr="00E71C78" w:rsidRDefault="00E71C78" w:rsidP="00E71C78">
      <w:pPr>
        <w:pStyle w:val="subpara"/>
        <w:ind w:left="0" w:firstLine="0"/>
        <w:jc w:val="left"/>
        <w:rPr>
          <w:b/>
          <w:szCs w:val="22"/>
        </w:rPr>
      </w:pPr>
    </w:p>
    <w:sectPr w:rsidR="00E71C78" w:rsidRPr="00E71C78" w:rsidSect="009E0692">
      <w:footerReference w:type="default" r:id="rId9"/>
      <w:pgSz w:w="11906" w:h="16838" w:code="9"/>
      <w:pgMar w:top="544" w:right="1411" w:bottom="720" w:left="1411" w:header="720" w:footer="4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65F" w:rsidRDefault="00F9065F">
      <w:r>
        <w:separator/>
      </w:r>
    </w:p>
  </w:endnote>
  <w:endnote w:type="continuationSeparator" w:id="0">
    <w:p w:rsidR="00F9065F" w:rsidRDefault="00F9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C3" w:rsidRDefault="00B468C3" w:rsidP="00B468C3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65F" w:rsidRDefault="00F9065F">
      <w:r>
        <w:separator/>
      </w:r>
    </w:p>
  </w:footnote>
  <w:footnote w:type="continuationSeparator" w:id="0">
    <w:p w:rsidR="00F9065F" w:rsidRDefault="00F90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115"/>
    <w:multiLevelType w:val="hybridMultilevel"/>
    <w:tmpl w:val="64FEE7F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169C9"/>
    <w:multiLevelType w:val="hybridMultilevel"/>
    <w:tmpl w:val="46FEFBB8"/>
    <w:lvl w:ilvl="0" w:tplc="0C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12224701"/>
    <w:multiLevelType w:val="hybridMultilevel"/>
    <w:tmpl w:val="7BDC046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613BD"/>
    <w:multiLevelType w:val="hybridMultilevel"/>
    <w:tmpl w:val="B6348AF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3D000C"/>
    <w:multiLevelType w:val="hybridMultilevel"/>
    <w:tmpl w:val="E48ED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20FC6"/>
    <w:multiLevelType w:val="hybridMultilevel"/>
    <w:tmpl w:val="C9E0395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E19D2"/>
    <w:multiLevelType w:val="hybridMultilevel"/>
    <w:tmpl w:val="78FCF68C"/>
    <w:lvl w:ilvl="0" w:tplc="0C09000F">
      <w:start w:val="1"/>
      <w:numFmt w:val="decimal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76E921FD"/>
    <w:multiLevelType w:val="hybridMultilevel"/>
    <w:tmpl w:val="30AC9F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06"/>
    <w:rsid w:val="00012508"/>
    <w:rsid w:val="00035B60"/>
    <w:rsid w:val="00041523"/>
    <w:rsid w:val="00073FEC"/>
    <w:rsid w:val="00082B30"/>
    <w:rsid w:val="00086AA0"/>
    <w:rsid w:val="000B61DC"/>
    <w:rsid w:val="000D3126"/>
    <w:rsid w:val="000E189F"/>
    <w:rsid w:val="00115131"/>
    <w:rsid w:val="00123983"/>
    <w:rsid w:val="00126892"/>
    <w:rsid w:val="00136FD6"/>
    <w:rsid w:val="00141B8B"/>
    <w:rsid w:val="001A2329"/>
    <w:rsid w:val="001A5211"/>
    <w:rsid w:val="001B2AE4"/>
    <w:rsid w:val="001B3CFD"/>
    <w:rsid w:val="001B6177"/>
    <w:rsid w:val="001C7C2A"/>
    <w:rsid w:val="001D5B10"/>
    <w:rsid w:val="001E20A2"/>
    <w:rsid w:val="00220711"/>
    <w:rsid w:val="00220E0D"/>
    <w:rsid w:val="00225CB1"/>
    <w:rsid w:val="0023741C"/>
    <w:rsid w:val="00274B8C"/>
    <w:rsid w:val="00276B37"/>
    <w:rsid w:val="0030191F"/>
    <w:rsid w:val="00330437"/>
    <w:rsid w:val="003335E1"/>
    <w:rsid w:val="003343E0"/>
    <w:rsid w:val="00387CEB"/>
    <w:rsid w:val="003A7F65"/>
    <w:rsid w:val="003C4771"/>
    <w:rsid w:val="00402E63"/>
    <w:rsid w:val="00416EF0"/>
    <w:rsid w:val="00425CB7"/>
    <w:rsid w:val="00435359"/>
    <w:rsid w:val="00442030"/>
    <w:rsid w:val="00452F3C"/>
    <w:rsid w:val="00471D45"/>
    <w:rsid w:val="00471D90"/>
    <w:rsid w:val="0048675E"/>
    <w:rsid w:val="00497221"/>
    <w:rsid w:val="004B61A7"/>
    <w:rsid w:val="004D3E16"/>
    <w:rsid w:val="004E7407"/>
    <w:rsid w:val="004F5A06"/>
    <w:rsid w:val="00510583"/>
    <w:rsid w:val="00515C69"/>
    <w:rsid w:val="00521E29"/>
    <w:rsid w:val="00536FF8"/>
    <w:rsid w:val="005400D8"/>
    <w:rsid w:val="005E3893"/>
    <w:rsid w:val="00635502"/>
    <w:rsid w:val="00642AC2"/>
    <w:rsid w:val="006601BF"/>
    <w:rsid w:val="00676D4C"/>
    <w:rsid w:val="006811C3"/>
    <w:rsid w:val="006A044F"/>
    <w:rsid w:val="006A4F32"/>
    <w:rsid w:val="006A742D"/>
    <w:rsid w:val="006C7716"/>
    <w:rsid w:val="006D42A4"/>
    <w:rsid w:val="006F0015"/>
    <w:rsid w:val="006F11C2"/>
    <w:rsid w:val="006F11DA"/>
    <w:rsid w:val="00730328"/>
    <w:rsid w:val="00747176"/>
    <w:rsid w:val="00770538"/>
    <w:rsid w:val="0079229B"/>
    <w:rsid w:val="00792BA6"/>
    <w:rsid w:val="007C4ED6"/>
    <w:rsid w:val="007D2093"/>
    <w:rsid w:val="007D2362"/>
    <w:rsid w:val="0080695A"/>
    <w:rsid w:val="008154E6"/>
    <w:rsid w:val="0082458F"/>
    <w:rsid w:val="00872EF2"/>
    <w:rsid w:val="00874192"/>
    <w:rsid w:val="00874B3A"/>
    <w:rsid w:val="00886FAD"/>
    <w:rsid w:val="00892E93"/>
    <w:rsid w:val="008A4A31"/>
    <w:rsid w:val="008D1F19"/>
    <w:rsid w:val="008F6EE2"/>
    <w:rsid w:val="009939C8"/>
    <w:rsid w:val="00996B95"/>
    <w:rsid w:val="009B2B55"/>
    <w:rsid w:val="009C1B65"/>
    <w:rsid w:val="009E0692"/>
    <w:rsid w:val="009F2169"/>
    <w:rsid w:val="009F6498"/>
    <w:rsid w:val="00A265E1"/>
    <w:rsid w:val="00A52A2A"/>
    <w:rsid w:val="00A6197D"/>
    <w:rsid w:val="00A63F34"/>
    <w:rsid w:val="00A70AB4"/>
    <w:rsid w:val="00A70FA0"/>
    <w:rsid w:val="00A82CB8"/>
    <w:rsid w:val="00A926F6"/>
    <w:rsid w:val="00AB27CE"/>
    <w:rsid w:val="00AF2514"/>
    <w:rsid w:val="00B041E5"/>
    <w:rsid w:val="00B0554C"/>
    <w:rsid w:val="00B36599"/>
    <w:rsid w:val="00B41051"/>
    <w:rsid w:val="00B468C3"/>
    <w:rsid w:val="00B47575"/>
    <w:rsid w:val="00B843E4"/>
    <w:rsid w:val="00B84FD9"/>
    <w:rsid w:val="00BB369B"/>
    <w:rsid w:val="00BB58FB"/>
    <w:rsid w:val="00C004ED"/>
    <w:rsid w:val="00C177EF"/>
    <w:rsid w:val="00C310AF"/>
    <w:rsid w:val="00C647A8"/>
    <w:rsid w:val="00C97D4F"/>
    <w:rsid w:val="00CD1E23"/>
    <w:rsid w:val="00CE20F2"/>
    <w:rsid w:val="00D33030"/>
    <w:rsid w:val="00D34698"/>
    <w:rsid w:val="00D5540A"/>
    <w:rsid w:val="00D80B76"/>
    <w:rsid w:val="00D83733"/>
    <w:rsid w:val="00D86FDE"/>
    <w:rsid w:val="00D9601F"/>
    <w:rsid w:val="00DA09FA"/>
    <w:rsid w:val="00DD7820"/>
    <w:rsid w:val="00E17BA4"/>
    <w:rsid w:val="00E355E5"/>
    <w:rsid w:val="00E44C7C"/>
    <w:rsid w:val="00E630D1"/>
    <w:rsid w:val="00E71C78"/>
    <w:rsid w:val="00E8304A"/>
    <w:rsid w:val="00E91FF1"/>
    <w:rsid w:val="00E96A82"/>
    <w:rsid w:val="00EE7469"/>
    <w:rsid w:val="00F224B8"/>
    <w:rsid w:val="00F53684"/>
    <w:rsid w:val="00F543C9"/>
    <w:rsid w:val="00F57D6E"/>
    <w:rsid w:val="00F617B7"/>
    <w:rsid w:val="00F9065F"/>
    <w:rsid w:val="00FC0017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909FB9-0B50-4CF5-A899-461FED1A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84FD9"/>
    <w:pPr>
      <w:spacing w:before="100" w:beforeAutospacing="1" w:after="100" w:afterAutospacing="1"/>
    </w:pPr>
    <w:rPr>
      <w:lang w:val="en-AU" w:eastAsia="en-AU"/>
    </w:rPr>
  </w:style>
  <w:style w:type="paragraph" w:styleId="ListParagraph">
    <w:name w:val="List Paragraph"/>
    <w:basedOn w:val="Normal"/>
    <w:uiPriority w:val="34"/>
    <w:qFormat/>
    <w:rsid w:val="008F6EE2"/>
    <w:pPr>
      <w:ind w:left="720"/>
      <w:contextualSpacing/>
    </w:pPr>
  </w:style>
  <w:style w:type="paragraph" w:customStyle="1" w:styleId="Default">
    <w:name w:val="Default"/>
    <w:rsid w:val="00C004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character" w:styleId="CommentReference">
    <w:name w:val="annotation reference"/>
    <w:basedOn w:val="DefaultParagraphFont"/>
    <w:semiHidden/>
    <w:unhideWhenUsed/>
    <w:rsid w:val="007471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471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717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47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47176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387CE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60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1260</Words>
  <Characters>7187</Characters>
  <Application>Microsoft Office Word</Application>
  <DocSecurity>0</DocSecurity>
  <Lines>59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Anthony Pharaoh</cp:lastModifiedBy>
  <cp:revision>2</cp:revision>
  <cp:lastPrinted>2018-05-09T03:27:00Z</cp:lastPrinted>
  <dcterms:created xsi:type="dcterms:W3CDTF">2018-05-09T05:54:00Z</dcterms:created>
  <dcterms:modified xsi:type="dcterms:W3CDTF">2018-05-09T05:54:00Z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BI138659</vt:lpwstr>
  </property>
  <property fmtid="{D5CDD505-2E9C-101B-9397-08002B2CF9AE}" pid="4" name="Objective-Title">
    <vt:lpwstr>S-101PT3_M_CSCL and DataCoverage</vt:lpwstr>
  </property>
  <property fmtid="{D5CDD505-2E9C-101B-9397-08002B2CF9AE}" pid="5" name="Objective-Comment">
    <vt:lpwstr>
    </vt:lpwstr>
  </property>
  <property fmtid="{D5CDD505-2E9C-101B-9397-08002B2CF9AE}" pid="6" name="Objective-CreationStamp">
    <vt:filetime>2018-05-07T00:21:40Z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>
    </vt:lpwstr>
  </property>
  <property fmtid="{D5CDD505-2E9C-101B-9397-08002B2CF9AE}" pid="10" name="Objective-ModificationStamp">
    <vt:filetime>2018-05-08T23:05:20Z</vt:filetime>
  </property>
  <property fmtid="{D5CDD505-2E9C-101B-9397-08002B2CF9AE}" pid="11" name="Objective-Owner">
    <vt:lpwstr>Sanchez, Alvaro(Mr)(HM Branch)(Product Maintenance &amp; Production)</vt:lpwstr>
  </property>
  <property fmtid="{D5CDD505-2E9C-101B-9397-08002B2CF9AE}" pid="12" name="Objective-Path">
    <vt:lpwstr>Objective Global Folder - PROD:Defence Business Units:Strategic Policy and Intelligence Group:Workgroup Staging Area:HM BRANCH : Hydrography and Metoc Branch:HM BRANCH WORLD:03 HM  BRANCH CORPORATE FILES:F. (Process 05) Charting, Navigational and Nautical</vt:lpwstr>
  </property>
  <property fmtid="{D5CDD505-2E9C-101B-9397-08002B2CF9AE}" pid="13" name="Objective-Parent">
    <vt:lpwstr>M_CSCL and DataCoverage</vt:lpwstr>
  </property>
  <property fmtid="{D5CDD505-2E9C-101B-9397-08002B2CF9AE}" pid="14" name="Objective-State">
    <vt:lpwstr>Being Edited</vt:lpwstr>
  </property>
  <property fmtid="{D5CDD505-2E9C-101B-9397-08002B2CF9AE}" pid="15" name="Objective-Version">
    <vt:lpwstr>2.2</vt:lpwstr>
  </property>
  <property fmtid="{D5CDD505-2E9C-101B-9397-08002B2CF9AE}" pid="16" name="Objective-VersionNumber">
    <vt:r8>6</vt:r8>
  </property>
  <property fmtid="{D5CDD505-2E9C-101B-9397-08002B2CF9AE}" pid="17" name="Objective-VersionComment">
    <vt:lpwstr>
    </vt:lpwstr>
  </property>
  <property fmtid="{D5CDD505-2E9C-101B-9397-08002B2CF9AE}" pid="18" name="Objective-FileNumber">
    <vt:lpwstr>2007/2500278</vt:lpwstr>
  </property>
  <property fmtid="{D5CDD505-2E9C-101B-9397-08002B2CF9AE}" pid="19" name="Objective-Classification">
    <vt:lpwstr>[Inherited - Unclassified]</vt:lpwstr>
  </property>
  <property fmtid="{D5CDD505-2E9C-101B-9397-08002B2CF9AE}" pid="20" name="Objective-Caveats">
    <vt:lpwstr>
    </vt:lpwstr>
  </property>
  <property fmtid="{D5CDD505-2E9C-101B-9397-08002B2CF9AE}" pid="21" name="Objective-Document Type [system]">
    <vt:lpwstr>
    </vt:lpwstr>
  </property>
</Properties>
</file>