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sz w:val="56"/>
          <w:szCs w:val="56"/>
        </w:rPr>
        <w:t xml:space="preserve">🌱</w:t>
      </w:r>
    </w:p>
    <w:p>
      <w:pPr>
        <w:spacing w:after="80" w:before="200"/>
        <w:jc w:val="center"/>
      </w:pPr>
      <w:r>
        <w:rPr>
          <w:b/>
          <w:bCs/>
          <w:color w:val="144D28"/>
          <w:sz w:val="60"/>
          <w:szCs w:val="60"/>
        </w:rPr>
        <w:t xml:space="preserve">GreenChain</w:t>
      </w:r>
    </w:p>
    <w:p>
      <w:pPr>
        <w:spacing w:after="320"/>
        <w:jc w:val="center"/>
      </w:pPr>
      <w:r>
        <w:rPr>
          <w:b/>
          <w:bCs/>
          <w:color w:val="1E7A3D"/>
          <w:sz w:val="30"/>
          <w:szCs w:val="30"/>
        </w:rPr>
        <w:t xml:space="preserve">Project &amp; Research Documentation</w:t>
      </w:r>
    </w:p>
    <w:p>
      <w:pPr>
        <w:spacing w:after="60"/>
        <w:jc w:val="center"/>
      </w:pPr>
      <w:r>
        <w:rPr>
          <w:i/>
          <w:iCs/>
          <w:color w:val="555555"/>
          <w:sz w:val="22"/>
          <w:szCs w:val="22"/>
        </w:rPr>
        <w:t xml:space="preserve">An Integrated Climate-Fintech Platform for Carbon Credits, Agri-Marketplace,</w:t>
      </w:r>
    </w:p>
    <w:p>
      <w:pPr>
        <w:spacing w:after="500"/>
        <w:jc w:val="center"/>
      </w:pPr>
      <w:r>
        <w:rPr>
          <w:i/>
          <w:iCs/>
          <w:color w:val="555555"/>
          <w:sz w:val="22"/>
          <w:szCs w:val="22"/>
        </w:rPr>
        <w:t xml:space="preserve">ESG Compliance &amp; Contract Farming</w:t>
      </w:r>
    </w:p>
    <w:p>
      <w:pPr>
        <w:spacing w:after="100"/>
        <w:jc w:val="center"/>
      </w:pPr>
      <w:r>
        <w:rPr>
          <w:b/>
          <w:bCs/>
          <w:sz w:val="22"/>
          <w:szCs w:val="22"/>
        </w:rPr>
        <w:t xml:space="preserve">Final Year Project Proposal &amp; Research Plan</w:t>
      </w:r>
    </w:p>
    <w:p>
      <w:pPr>
        <w:spacing w:after="60"/>
        <w:jc w:val="center"/>
      </w:pPr>
      <w:r>
        <w:rPr>
          <w:color w:val="555555"/>
          <w:sz w:val="20"/>
          <w:szCs w:val="20"/>
        </w:rPr>
        <w:t xml:space="preserve">Version 1.0  ·  August 2026</w:t>
      </w:r>
    </w:p>
    <w:p>
      <w:pPr>
        <w:spacing w:after="900"/>
        <w:jc w:val="center"/>
      </w:pPr>
      <w:r>
        <w:rPr>
          <w:color w:val="555555"/>
          <w:sz w:val="20"/>
          <w:szCs w:val="20"/>
        </w:rPr>
        <w:t xml:space="preserve">Prepared for Faculty Mentor Review</w:t>
      </w:r>
    </w:p>
    <w:p>
      <w:r>
        <w:br w:type="page"/>
      </w:r>
    </w:p>
    <w:p>
      <w:pPr>
        <w:pStyle w:val="Heading1"/>
        <w:spacing w:after="160" w:before="320"/>
      </w:pPr>
      <w:r>
        <w:rPr>
          <w:b/>
          <w:bCs/>
          <w:color w:val="144D28"/>
          <w:sz w:val="30"/>
          <w:szCs w:val="30"/>
        </w:rPr>
        <w:t xml:space="preserve">Table of Contents</w:t>
      </w:r>
    </w:p>
    <w:p>
      <w:pPr>
        <w:tabs>
          <w:tab w:val="right" w:pos="9072" w:leader="dot"/>
        </w:tabs>
        <w:spacing w:after="120"/>
        <w:ind w:left="0"/>
      </w:pPr>
      <w:r>
        <w:rPr>
          <w:b/>
          <w:bCs/>
          <w:color w:val="144D28"/>
          <w:sz w:val="23"/>
          <w:szCs w:val="23"/>
        </w:rPr>
        <w:t xml:space="preserve">1. Executive Summary</w:t>
      </w:r>
      <w:r>
        <w:rPr>
          <w:b/>
          <w:bCs/>
          <w:color w:val="144D28"/>
          <w:sz w:val="23"/>
          <w:szCs w:val="23"/>
        </w:rPr>
        <w:t xml:space="preserve">	3</w:t>
      </w:r>
    </w:p>
    <w:p>
      <w:pPr>
        <w:tabs>
          <w:tab w:val="right" w:pos="9072" w:leader="dot"/>
        </w:tabs>
        <w:spacing w:after="120"/>
        <w:ind w:left="0"/>
      </w:pPr>
      <w:r>
        <w:rPr>
          <w:b/>
          <w:bCs/>
          <w:color w:val="144D28"/>
          <w:sz w:val="23"/>
          <w:szCs w:val="23"/>
        </w:rPr>
        <w:t xml:space="preserve">2. Problem Statement</w:t>
      </w:r>
      <w:r>
        <w:rPr>
          <w:b/>
          <w:bCs/>
          <w:color w:val="144D28"/>
          <w:sz w:val="23"/>
          <w:szCs w:val="23"/>
        </w:rPr>
        <w:t xml:space="preserve">	3</w:t>
      </w:r>
    </w:p>
    <w:p>
      <w:pPr>
        <w:tabs>
          <w:tab w:val="right" w:pos="9072" w:leader="dot"/>
        </w:tabs>
        <w:spacing w:after="120"/>
        <w:ind w:left="0"/>
      </w:pPr>
      <w:r>
        <w:rPr>
          <w:b/>
          <w:bCs/>
          <w:color w:val="144D28"/>
          <w:sz w:val="23"/>
          <w:szCs w:val="23"/>
        </w:rPr>
        <w:t xml:space="preserve">3. Proposed Solution Overview</w:t>
      </w:r>
      <w:r>
        <w:rPr>
          <w:b/>
          <w:bCs/>
          <w:color w:val="144D28"/>
          <w:sz w:val="23"/>
          <w:szCs w:val="23"/>
        </w:rPr>
        <w:t xml:space="preserve">	3</w:t>
      </w:r>
    </w:p>
    <w:p>
      <w:pPr>
        <w:tabs>
          <w:tab w:val="right" w:pos="9072" w:leader="dot"/>
        </w:tabs>
        <w:spacing w:after="80"/>
        <w:ind w:left="360"/>
      </w:pPr>
      <w:r>
        <w:rPr>
          <w:b w:val="false"/>
          <w:bCs w:val="false"/>
          <w:color w:val="333333"/>
          <w:sz w:val="21"/>
          <w:szCs w:val="21"/>
        </w:rPr>
        <w:t xml:space="preserve">3.1 Core Design Principles</w:t>
      </w:r>
      <w:r>
        <w:rPr>
          <w:b w:val="false"/>
          <w:bCs w:val="false"/>
          <w:color w:val="333333"/>
          <w:sz w:val="21"/>
          <w:szCs w:val="21"/>
        </w:rPr>
        <w:t xml:space="preserve">	4</w:t>
      </w:r>
    </w:p>
    <w:p>
      <w:pPr>
        <w:tabs>
          <w:tab w:val="right" w:pos="9072" w:leader="dot"/>
        </w:tabs>
        <w:spacing w:after="80"/>
        <w:ind w:left="360"/>
      </w:pPr>
      <w:r>
        <w:rPr>
          <w:b w:val="false"/>
          <w:bCs w:val="false"/>
          <w:color w:val="333333"/>
          <w:sz w:val="21"/>
          <w:szCs w:val="21"/>
        </w:rPr>
        <w:t xml:space="preserve">3.2 Technology Stack (Prototype)</w:t>
      </w:r>
      <w:r>
        <w:rPr>
          <w:b w:val="false"/>
          <w:bCs w:val="false"/>
          <w:color w:val="333333"/>
          <w:sz w:val="21"/>
          <w:szCs w:val="21"/>
        </w:rPr>
        <w:t xml:space="preserve">	4</w:t>
      </w:r>
    </w:p>
    <w:p>
      <w:pPr>
        <w:tabs>
          <w:tab w:val="right" w:pos="9072" w:leader="dot"/>
        </w:tabs>
        <w:spacing w:after="120"/>
        <w:ind w:left="0"/>
      </w:pPr>
      <w:r>
        <w:rPr>
          <w:b/>
          <w:bCs/>
          <w:color w:val="144D28"/>
          <w:sz w:val="23"/>
          <w:szCs w:val="23"/>
        </w:rPr>
        <w:t xml:space="preserve">4. Research Contribution &amp; Novelty</w:t>
      </w:r>
      <w:r>
        <w:rPr>
          <w:b/>
          <w:bCs/>
          <w:color w:val="144D28"/>
          <w:sz w:val="23"/>
          <w:szCs w:val="23"/>
        </w:rPr>
        <w:t xml:space="preserve">	5</w:t>
      </w:r>
    </w:p>
    <w:p>
      <w:pPr>
        <w:tabs>
          <w:tab w:val="right" w:pos="9072" w:leader="dot"/>
        </w:tabs>
        <w:spacing w:after="80"/>
        <w:ind w:left="360"/>
      </w:pPr>
      <w:r>
        <w:rPr>
          <w:b w:val="false"/>
          <w:bCs w:val="false"/>
          <w:color w:val="333333"/>
          <w:sz w:val="21"/>
          <w:szCs w:val="21"/>
        </w:rPr>
        <w:t xml:space="preserve">4.1 Selected Research Focus</w:t>
      </w:r>
      <w:r>
        <w:rPr>
          <w:b w:val="false"/>
          <w:bCs w:val="false"/>
          <w:color w:val="333333"/>
          <w:sz w:val="21"/>
          <w:szCs w:val="21"/>
        </w:rPr>
        <w:t xml:space="preserve">	5</w:t>
      </w:r>
    </w:p>
    <w:p>
      <w:pPr>
        <w:tabs>
          <w:tab w:val="right" w:pos="9072" w:leader="dot"/>
        </w:tabs>
        <w:spacing w:after="80"/>
        <w:ind w:left="360"/>
      </w:pPr>
      <w:r>
        <w:rPr>
          <w:b w:val="false"/>
          <w:bCs w:val="false"/>
          <w:color w:val="333333"/>
          <w:sz w:val="21"/>
          <w:szCs w:val="21"/>
        </w:rPr>
        <w:t xml:space="preserve">4.2 Why This Is a Defensible Research Contribution</w:t>
      </w:r>
      <w:r>
        <w:rPr>
          <w:b w:val="false"/>
          <w:bCs w:val="false"/>
          <w:color w:val="333333"/>
          <w:sz w:val="21"/>
          <w:szCs w:val="21"/>
        </w:rPr>
        <w:t xml:space="preserve">	5</w:t>
      </w:r>
    </w:p>
    <w:p>
      <w:pPr>
        <w:tabs>
          <w:tab w:val="right" w:pos="9072" w:leader="dot"/>
        </w:tabs>
        <w:spacing w:after="80"/>
        <w:ind w:left="360"/>
      </w:pPr>
      <w:r>
        <w:rPr>
          <w:b w:val="false"/>
          <w:bCs w:val="false"/>
          <w:color w:val="333333"/>
          <w:sz w:val="21"/>
          <w:szCs w:val="21"/>
        </w:rPr>
        <w:t xml:space="preserve">4.3 Research Question</w:t>
      </w:r>
      <w:r>
        <w:rPr>
          <w:b w:val="false"/>
          <w:bCs w:val="false"/>
          <w:color w:val="333333"/>
          <w:sz w:val="21"/>
          <w:szCs w:val="21"/>
        </w:rPr>
        <w:t xml:space="preserve">	5</w:t>
      </w:r>
    </w:p>
    <w:p>
      <w:pPr>
        <w:tabs>
          <w:tab w:val="right" w:pos="9072" w:leader="dot"/>
        </w:tabs>
        <w:spacing w:after="80"/>
        <w:ind w:left="360"/>
      </w:pPr>
      <w:r>
        <w:rPr>
          <w:b w:val="false"/>
          <w:bCs w:val="false"/>
          <w:color w:val="333333"/>
          <w:sz w:val="21"/>
          <w:szCs w:val="21"/>
        </w:rPr>
        <w:t xml:space="preserve">4.4 Novelty Verification (Action Required Before Full Commitment)</w:t>
      </w:r>
      <w:r>
        <w:rPr>
          <w:b w:val="false"/>
          <w:bCs w:val="false"/>
          <w:color w:val="333333"/>
          <w:sz w:val="21"/>
          <w:szCs w:val="21"/>
        </w:rPr>
        <w:t xml:space="preserve">	5</w:t>
      </w:r>
    </w:p>
    <w:p>
      <w:pPr>
        <w:tabs>
          <w:tab w:val="right" w:pos="9072" w:leader="dot"/>
        </w:tabs>
        <w:spacing w:after="120"/>
        <w:ind w:left="0"/>
      </w:pPr>
      <w:r>
        <w:rPr>
          <w:b/>
          <w:bCs/>
          <w:color w:val="144D28"/>
          <w:sz w:val="23"/>
          <w:szCs w:val="23"/>
        </w:rPr>
        <w:t xml:space="preserve">5. Research Methodology</w:t>
      </w:r>
      <w:r>
        <w:rPr>
          <w:b/>
          <w:bCs/>
          <w:color w:val="144D28"/>
          <w:sz w:val="23"/>
          <w:szCs w:val="23"/>
        </w:rPr>
        <w:t xml:space="preserve">	6</w:t>
      </w:r>
    </w:p>
    <w:p>
      <w:pPr>
        <w:tabs>
          <w:tab w:val="right" w:pos="9072" w:leader="dot"/>
        </w:tabs>
        <w:spacing w:after="80"/>
        <w:ind w:left="360"/>
      </w:pPr>
      <w:r>
        <w:rPr>
          <w:b w:val="false"/>
          <w:bCs w:val="false"/>
          <w:color w:val="333333"/>
          <w:sz w:val="21"/>
          <w:szCs w:val="21"/>
        </w:rPr>
        <w:t xml:space="preserve">5.1 Algorithm Definition</w:t>
      </w:r>
      <w:r>
        <w:rPr>
          <w:b w:val="false"/>
          <w:bCs w:val="false"/>
          <w:color w:val="333333"/>
          <w:sz w:val="21"/>
          <w:szCs w:val="21"/>
        </w:rPr>
        <w:t xml:space="preserve">	6</w:t>
      </w:r>
    </w:p>
    <w:p>
      <w:pPr>
        <w:tabs>
          <w:tab w:val="right" w:pos="9072" w:leader="dot"/>
        </w:tabs>
        <w:spacing w:after="80"/>
        <w:ind w:left="360"/>
      </w:pPr>
      <w:r>
        <w:rPr>
          <w:b w:val="false"/>
          <w:bCs w:val="false"/>
          <w:color w:val="333333"/>
          <w:sz w:val="21"/>
          <w:szCs w:val="21"/>
        </w:rPr>
        <w:t xml:space="preserve">5.2 Evaluation Plan</w:t>
      </w:r>
      <w:r>
        <w:rPr>
          <w:b w:val="false"/>
          <w:bCs w:val="false"/>
          <w:color w:val="333333"/>
          <w:sz w:val="21"/>
          <w:szCs w:val="21"/>
        </w:rPr>
        <w:t xml:space="preserve">	6</w:t>
      </w:r>
    </w:p>
    <w:p>
      <w:pPr>
        <w:tabs>
          <w:tab w:val="right" w:pos="9072" w:leader="dot"/>
        </w:tabs>
        <w:spacing w:after="120"/>
        <w:ind w:left="0"/>
      </w:pPr>
      <w:r>
        <w:rPr>
          <w:b/>
          <w:bCs/>
          <w:color w:val="144D28"/>
          <w:sz w:val="23"/>
          <w:szCs w:val="23"/>
        </w:rPr>
        <w:t xml:space="preserve">6. Combined Development &amp; Research Roadmap</w:t>
      </w:r>
      <w:r>
        <w:rPr>
          <w:b/>
          <w:bCs/>
          <w:color w:val="144D28"/>
          <w:sz w:val="23"/>
          <w:szCs w:val="23"/>
        </w:rPr>
        <w:t xml:space="preserve">	7</w:t>
      </w:r>
    </w:p>
    <w:p>
      <w:pPr>
        <w:tabs>
          <w:tab w:val="right" w:pos="9072" w:leader="dot"/>
        </w:tabs>
        <w:spacing w:after="120"/>
        <w:ind w:left="0"/>
      </w:pPr>
      <w:r>
        <w:rPr>
          <w:b/>
          <w:bCs/>
          <w:color w:val="144D28"/>
          <w:sz w:val="23"/>
          <w:szCs w:val="23"/>
        </w:rPr>
        <w:t xml:space="preserve">7. Expected Outcomes</w:t>
      </w:r>
      <w:r>
        <w:rPr>
          <w:b/>
          <w:bCs/>
          <w:color w:val="144D28"/>
          <w:sz w:val="23"/>
          <w:szCs w:val="23"/>
        </w:rPr>
        <w:t xml:space="preserve">	7</w:t>
      </w:r>
    </w:p>
    <w:p>
      <w:pPr>
        <w:tabs>
          <w:tab w:val="right" w:pos="9072" w:leader="dot"/>
        </w:tabs>
        <w:spacing w:after="120"/>
        <w:ind w:left="0"/>
      </w:pPr>
      <w:r>
        <w:rPr>
          <w:b/>
          <w:bCs/>
          <w:color w:val="144D28"/>
          <w:sz w:val="23"/>
          <w:szCs w:val="23"/>
        </w:rPr>
        <w:t xml:space="preserve">8. Open Items for Mentor Review</w:t>
      </w:r>
      <w:r>
        <w:rPr>
          <w:b/>
          <w:bCs/>
          <w:color w:val="144D28"/>
          <w:sz w:val="23"/>
          <w:szCs w:val="23"/>
        </w:rPr>
        <w:t xml:space="preserve">	7</w:t>
      </w:r>
    </w:p>
    <w:p>
      <w:r>
        <w:br w:type="page"/>
      </w:r>
    </w:p>
    <w:p>
      <w:pPr>
        <w:pStyle w:val="Heading1"/>
        <w:spacing w:after="160" w:before="320"/>
      </w:pPr>
      <w:r>
        <w:rPr>
          <w:b/>
          <w:bCs/>
          <w:color w:val="144D28"/>
          <w:sz w:val="30"/>
          <w:szCs w:val="30"/>
        </w:rPr>
        <w:t xml:space="preserve">1. Executive Summary</w:t>
      </w:r>
    </w:p>
    <w:p>
      <w:pPr>
        <w:spacing w:after="160" w:line="300"/>
      </w:pPr>
      <w:r>
        <w:rPr>
          <w:color w:val="222222"/>
          <w:sz w:val="22"/>
          <w:szCs w:val="22"/>
        </w:rPr>
        <w:t xml:space="preserve">GreenChain is a proposed climate-fintech platform for India that combines carbon credit generation, an agri-produce marketplace, corporate ESG compliance tooling, and contract farming into a single, INR-native, farmer-first ecosystem. The platform targets a structural gap in India's rural climate finance system: smallholder farmers currently have no reliable, rupee-denominated way to monetise sustainable land practices, while 740+ industrial entities face binding emission targets under India's Carbon Credit Trading Scheme (CCTS) with no integrated source of verified domestic agri-carbon credits.</w:t>
      </w:r>
    </w:p>
    <w:p>
      <w:pPr>
        <w:spacing w:after="160" w:line="300"/>
      </w:pPr>
      <w:r>
        <w:rPr>
          <w:color w:val="222222"/>
          <w:sz w:val="22"/>
          <w:szCs w:val="22"/>
        </w:rPr>
        <w:t xml:space="preserve">This document has two purposes. First, it lays out the product and system design the team intends to build as the final year project. Second — and central to this submission — it defines the specific, novel research contribution the team intends to formalise, evaluate, and publish alongside the working system, in line with the mentor's direction to pursue original, publishable research rather than a purely applied build.</w:t>
      </w:r>
    </w:p>
    <w:p>
      <w:pPr>
        <w:spacing w:after="160" w:line="300"/>
      </w:pPr>
      <w:r>
        <w:rPr>
          <w:color w:val="222222"/>
          <w:sz w:val="22"/>
          <w:szCs w:val="22"/>
        </w:rPr>
        <w:t xml:space="preserve">The team will build the full product end-to-end. In parallel, one architectural component — the Farmer Reliability Point System (FRPS) combined with the Fair Credit Allocation Engine (FCAE) — will be developed as a formal, evaluable algorithm with measurable results, since this is the most self-contained and defensible candidate for a genuine research contribution within the platform.</w:t>
      </w:r>
    </w:p>
    <w:p>
      <w:pPr>
        <w:pStyle w:val="Heading1"/>
        <w:spacing w:after="160" w:before="320"/>
      </w:pPr>
      <w:r>
        <w:rPr>
          <w:b/>
          <w:bCs/>
          <w:color w:val="144D28"/>
          <w:sz w:val="30"/>
          <w:szCs w:val="30"/>
        </w:rPr>
        <w:t xml:space="preserve">2. Problem Statement</w:t>
      </w:r>
    </w:p>
    <w:p>
      <w:pPr>
        <w:spacing w:after="160" w:line="300"/>
      </w:pPr>
      <w:r>
        <w:rPr>
          <w:color w:val="222222"/>
          <w:sz w:val="22"/>
          <w:szCs w:val="22"/>
        </w:rPr>
        <w:t xml:space="preserve">India's rural climate finance ecosystem currently has four structural failures that no single existing platform addresses together:</w:t>
      </w:r>
    </w:p>
    <w:p>
      <w:pPr>
        <w:pStyle w:val="ListParagraph"/>
        <w:numPr>
          <w:ilvl w:val="0"/>
          <w:numId w:val="2"/>
        </w:numPr>
        <w:spacing w:after="90"/>
      </w:pPr>
      <w:r>
        <w:rPr>
          <w:color w:val="222222"/>
          <w:sz w:val="22"/>
          <w:szCs w:val="22"/>
        </w:rPr>
        <w:t xml:space="preserve">INR Exclusion from Carbon Markets — all existing carbon platforms price in USD, exposing farmers to FX volatility with no rupee-native settlement pathway.</w:t>
      </w:r>
    </w:p>
    <w:p>
      <w:pPr>
        <w:pStyle w:val="ListParagraph"/>
        <w:numPr>
          <w:ilvl w:val="0"/>
          <w:numId w:val="2"/>
        </w:numPr>
        <w:spacing w:after="90"/>
      </w:pPr>
      <w:r>
        <w:rPr>
          <w:color w:val="222222"/>
          <w:sz w:val="22"/>
          <w:szCs w:val="22"/>
        </w:rPr>
        <w:t xml:space="preserve">Zero Monetisation for Smallholders — 125 million smallholder farmers earn nothing from carbon-positive land practices due to lack of accessible, verified credit issuance infrastructure.</w:t>
      </w:r>
    </w:p>
    <w:p>
      <w:pPr>
        <w:pStyle w:val="ListParagraph"/>
        <w:numPr>
          <w:ilvl w:val="0"/>
          <w:numId w:val="2"/>
        </w:numPr>
        <w:spacing w:after="90"/>
      </w:pPr>
      <w:r>
        <w:rPr>
          <w:color w:val="222222"/>
          <w:sz w:val="22"/>
          <w:szCs w:val="22"/>
        </w:rPr>
        <w:t xml:space="preserve">Fragmented Compliance Stack — carbon MRV, agri-marketplace, ESG reporting, and contract farming exist as separate tools; no platform integrates them for a farmer-first workflow.</w:t>
      </w:r>
    </w:p>
    <w:p>
      <w:pPr>
        <w:pStyle w:val="ListParagraph"/>
        <w:numPr>
          <w:ilvl w:val="0"/>
          <w:numId w:val="2"/>
        </w:numPr>
        <w:spacing w:after="90"/>
      </w:pPr>
      <w:r>
        <w:rPr>
          <w:color w:val="222222"/>
          <w:sz w:val="22"/>
          <w:szCs w:val="22"/>
        </w:rPr>
        <w:t xml:space="preserve">Corporate Compliance Gap — 740+ industrial entities have binding emission targets under CCTS (active since 2025) but lack a reliable source of verified, COP-compliant domestic agri-credits.</w:t>
      </w:r>
    </w:p>
    <w:p>
      <w:pPr>
        <w:spacing w:after="160" w:line="300"/>
      </w:pPr>
      <w:r>
        <w:rPr>
          <w:color w:val="222222"/>
          <w:sz w:val="22"/>
          <w:szCs w:val="22"/>
        </w:rPr>
        <w:t xml:space="preserve">These four gaps, taken together, define the product opportunity. Within this opportunity, the specific research problem this project targets is narrower and is defined in Section 4.</w:t>
      </w:r>
    </w:p>
    <w:p>
      <w:pPr>
        <w:pStyle w:val="Heading1"/>
        <w:spacing w:after="160" w:before="320"/>
      </w:pPr>
      <w:r>
        <w:rPr>
          <w:b/>
          <w:bCs/>
          <w:color w:val="144D28"/>
          <w:sz w:val="30"/>
          <w:szCs w:val="30"/>
        </w:rPr>
        <w:t xml:space="preserve">3. Proposed Solution Overview</w:t>
      </w:r>
    </w:p>
    <w:p>
      <w:pPr>
        <w:spacing w:after="160" w:line="300"/>
      </w:pPr>
      <w:r>
        <w:rPr>
          <w:color w:val="222222"/>
          <w:sz w:val="22"/>
          <w:szCs w:val="22"/>
        </w:rPr>
        <w:t xml:space="preserve">GreenChain is designed as eight integrated ecosystem layers, each an independent revenue stream that reinforces the others: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E7A3D" w:val="clear"/>
            <w:tcMar>
              <w:top w:type="dxa" w:w="100"/>
              <w:left w:type="dxa" w:w="120"/>
              <w:bottom w:type="dxa" w:w="100"/>
              <w:right w:type="dxa" w:w="120"/>
            </w:tcMar>
          </w:tcPr>
          <w:p>
            <w:r>
              <w:rPr>
                <w:b/>
                <w:bCs/>
                <w:color w:val="FFFFFF"/>
                <w:sz w:val="20"/>
                <w:szCs w:val="20"/>
              </w:rPr>
              <w:t xml:space="preserve">Layer</w:t>
            </w:r>
          </w:p>
        </w:tc>
        <w:tc>
          <w:tcPr>
            <w:tcW w:type="dxa" w:w="6300"/>
            <w:shd w:fill="1E7A3D" w:val="clear"/>
            <w:tcMar>
              <w:top w:type="dxa" w:w="100"/>
              <w:left w:type="dxa" w:w="120"/>
              <w:bottom w:type="dxa" w:w="100"/>
              <w:right w:type="dxa" w:w="120"/>
            </w:tcMar>
          </w:tcPr>
          <w:p>
            <w:r>
              <w:rPr>
                <w:b/>
                <w:bCs/>
                <w:color w:val="FFFFFF"/>
                <w:sz w:val="20"/>
                <w:szCs w:val="20"/>
              </w:rPr>
              <w:t xml:space="preserve">Function</w:t>
            </w:r>
          </w:p>
        </w:tc>
      </w:tr>
      <w:tr>
        <w:tc>
          <w:tcPr>
            <w:tcW w:type="dxa" w:w="3200"/>
            <w:tcMar>
              <w:top w:type="dxa" w:w="100"/>
              <w:left w:type="dxa" w:w="120"/>
              <w:bottom w:type="dxa" w:w="100"/>
              <w:right w:type="dxa" w:w="120"/>
            </w:tcMar>
          </w:tcPr>
          <w:p>
            <w:r>
              <w:rPr>
                <w:b w:val="false"/>
                <w:bCs w:val="false"/>
                <w:color w:val="222222"/>
                <w:sz w:val="20"/>
                <w:szCs w:val="20"/>
              </w:rPr>
              <w:t xml:space="preserve">Carbon Registry</w:t>
            </w:r>
          </w:p>
        </w:tc>
        <w:tc>
          <w:tcPr>
            <w:tcW w:type="dxa" w:w="6300"/>
            <w:tcMar>
              <w:top w:type="dxa" w:w="100"/>
              <w:left w:type="dxa" w:w="120"/>
              <w:bottom w:type="dxa" w:w="100"/>
              <w:right w:type="dxa" w:w="120"/>
            </w:tcMar>
          </w:tcPr>
          <w:p>
            <w:r>
              <w:rPr>
                <w:b w:val="false"/>
                <w:bCs w:val="false"/>
                <w:color w:val="222222"/>
                <w:sz w:val="20"/>
                <w:szCs w:val="20"/>
              </w:rPr>
              <w:t xml:space="preserve">STCC / LTCC / TPC credit issuance, NGO-verified, NDVI-backed</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Corporate ESG</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BRSR-aligned dashboard, Fair Credit Allocation Engine (FCAE)</w:t>
            </w:r>
          </w:p>
        </w:tc>
      </w:tr>
      <w:tr>
        <w:tc>
          <w:tcPr>
            <w:tcW w:type="dxa" w:w="3200"/>
            <w:tcMar>
              <w:top w:type="dxa" w:w="100"/>
              <w:left w:type="dxa" w:w="120"/>
              <w:bottom w:type="dxa" w:w="100"/>
              <w:right w:type="dxa" w:w="120"/>
            </w:tcMar>
          </w:tcPr>
          <w:p>
            <w:r>
              <w:rPr>
                <w:b w:val="false"/>
                <w:bCs w:val="false"/>
                <w:color w:val="222222"/>
                <w:sz w:val="20"/>
                <w:szCs w:val="20"/>
              </w:rPr>
              <w:t xml:space="preserve">NGO / Govt Audit</w:t>
            </w:r>
          </w:p>
        </w:tc>
        <w:tc>
          <w:tcPr>
            <w:tcW w:type="dxa" w:w="6300"/>
            <w:tcMar>
              <w:top w:type="dxa" w:w="100"/>
              <w:left w:type="dxa" w:w="120"/>
              <w:bottom w:type="dxa" w:w="100"/>
              <w:right w:type="dxa" w:w="120"/>
            </w:tcMar>
          </w:tcPr>
          <w:p>
            <w:r>
              <w:rPr>
                <w:b w:val="false"/>
                <w:bCs w:val="false"/>
                <w:color w:val="222222"/>
                <w:sz w:val="20"/>
                <w:szCs w:val="20"/>
              </w:rPr>
              <w:t xml:space="preserve">Verification layer, compliance trace, spot-checks</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Agri-Produce Marketplace</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Produce listing and sale channel for farmers</w:t>
            </w:r>
          </w:p>
        </w:tc>
      </w:tr>
      <w:tr>
        <w:tc>
          <w:tcPr>
            <w:tcW w:type="dxa" w:w="3200"/>
            <w:tcMar>
              <w:top w:type="dxa" w:w="100"/>
              <w:left w:type="dxa" w:w="120"/>
              <w:bottom w:type="dxa" w:w="100"/>
              <w:right w:type="dxa" w:w="120"/>
            </w:tcMar>
          </w:tcPr>
          <w:p>
            <w:r>
              <w:rPr>
                <w:b w:val="false"/>
                <w:bCs w:val="false"/>
                <w:color w:val="222222"/>
                <w:sz w:val="20"/>
                <w:szCs w:val="20"/>
              </w:rPr>
              <w:t xml:space="preserve">Donation Layer</w:t>
            </w:r>
          </w:p>
        </w:tc>
        <w:tc>
          <w:tcPr>
            <w:tcW w:type="dxa" w:w="6300"/>
            <w:tcMar>
              <w:top w:type="dxa" w:w="100"/>
              <w:left w:type="dxa" w:w="120"/>
              <w:bottom w:type="dxa" w:w="100"/>
              <w:right w:type="dxa" w:w="120"/>
            </w:tcMar>
          </w:tcPr>
          <w:p>
            <w:r>
              <w:rPr>
                <w:b w:val="false"/>
                <w:bCs w:val="false"/>
                <w:color w:val="222222"/>
                <w:sz w:val="20"/>
                <w:szCs w:val="20"/>
              </w:rPr>
              <w:t xml:space="preserve">CSR funding channel for NGOs and corporates</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Contract Farming</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Land-owner / contractor matching with escrow</w:t>
            </w:r>
          </w:p>
        </w:tc>
      </w:tr>
      <w:tr>
        <w:tc>
          <w:tcPr>
            <w:tcW w:type="dxa" w:w="3200"/>
            <w:tcMar>
              <w:top w:type="dxa" w:w="100"/>
              <w:left w:type="dxa" w:w="120"/>
              <w:bottom w:type="dxa" w:w="100"/>
              <w:right w:type="dxa" w:w="120"/>
            </w:tcMar>
          </w:tcPr>
          <w:p>
            <w:r>
              <w:rPr>
                <w:b w:val="false"/>
                <w:bCs w:val="false"/>
                <w:color w:val="222222"/>
                <w:sz w:val="20"/>
                <w:szCs w:val="20"/>
              </w:rPr>
              <w:t xml:space="preserve">Dual Market Engine</w:t>
            </w:r>
          </w:p>
        </w:tc>
        <w:tc>
          <w:tcPr>
            <w:tcW w:type="dxa" w:w="6300"/>
            <w:tcMar>
              <w:top w:type="dxa" w:w="100"/>
              <w:left w:type="dxa" w:w="120"/>
              <w:bottom w:type="dxa" w:w="100"/>
              <w:right w:type="dxa" w:w="120"/>
            </w:tcMar>
          </w:tcPr>
          <w:p>
            <w:r>
              <w:rPr>
                <w:b w:val="false"/>
                <w:bCs w:val="false"/>
                <w:color w:val="222222"/>
                <w:sz w:val="20"/>
                <w:szCs w:val="20"/>
              </w:rPr>
              <w:t xml:space="preserve">INR + forex settlement (future international buyers)</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Agri Ads / Services</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Hiring marketplace and allied agri-services</w:t>
            </w:r>
          </w:p>
        </w:tc>
      </w:tr>
    </w:tbl>
    <w:p>
      <w:pPr>
        <w:spacing w:before="200"/>
      </w:pPr>
    </w:p>
    <w:p>
      <w:pPr>
        <w:pStyle w:val="Heading2"/>
        <w:spacing w:after="120" w:before="260"/>
      </w:pPr>
      <w:r>
        <w:rPr>
          <w:b/>
          <w:bCs/>
          <w:color w:val="1E7A3D"/>
          <w:sz w:val="24"/>
          <w:szCs w:val="24"/>
        </w:rPr>
        <w:t xml:space="preserve">3.1 Core Design Principles</w:t>
      </w:r>
    </w:p>
    <w:p>
      <w:pPr>
        <w:pStyle w:val="ListParagraph"/>
        <w:numPr>
          <w:ilvl w:val="0"/>
          <w:numId w:val="2"/>
        </w:numPr>
        <w:spacing w:after="90"/>
      </w:pPr>
      <w:r>
        <w:rPr>
          <w:color w:val="222222"/>
          <w:sz w:val="22"/>
          <w:szCs w:val="22"/>
        </w:rPr>
        <w:t xml:space="preserve">INR-Native Settlement — all farmer payments in INR via UPI/NEFT; no crypto exposure for farmers.</w:t>
      </w:r>
    </w:p>
    <w:p>
      <w:pPr>
        <w:pStyle w:val="ListParagraph"/>
        <w:numPr>
          <w:ilvl w:val="0"/>
          <w:numId w:val="2"/>
        </w:numPr>
        <w:spacing w:after="90"/>
      </w:pPr>
      <w:r>
        <w:rPr>
          <w:color w:val="222222"/>
          <w:sz w:val="22"/>
          <w:szCs w:val="22"/>
        </w:rPr>
        <w:t xml:space="preserve">Blockchain as Proof Only — Polygon L2 stores only four fields (credit_id, CO2e, vintage year, farmer wallet); zero trading logic on-chain; fully portable off-chain if regulation changes.</w:t>
      </w:r>
    </w:p>
    <w:p>
      <w:pPr>
        <w:pStyle w:val="ListParagraph"/>
        <w:numPr>
          <w:ilvl w:val="0"/>
          <w:numId w:val="2"/>
        </w:numPr>
        <w:spacing w:after="90"/>
      </w:pPr>
      <w:r>
        <w:rPr>
          <w:color w:val="222222"/>
          <w:sz w:val="22"/>
          <w:szCs w:val="22"/>
        </w:rPr>
        <w:t xml:space="preserve">Farmer-First Reliability System (FRPS) — governs platform access, commission rates, and market eligibility based on verified good behaviour, not landholding size.</w:t>
      </w:r>
    </w:p>
    <w:p>
      <w:pPr>
        <w:pStyle w:val="ListParagraph"/>
        <w:numPr>
          <w:ilvl w:val="0"/>
          <w:numId w:val="2"/>
        </w:numPr>
        <w:spacing w:after="90"/>
      </w:pPr>
      <w:r>
        <w:rPr>
          <w:color w:val="222222"/>
          <w:sz w:val="22"/>
          <w:szCs w:val="22"/>
        </w:rPr>
        <w:t xml:space="preserve">COP Compliance by Design — an unbroken foreign-key chain from land plots through crop cycles, carbon calculations, and credit issuance to purchase records, so no credit can exist without a traceable origin.</w:t>
      </w:r>
    </w:p>
    <w:p>
      <w:pPr>
        <w:pStyle w:val="ListParagraph"/>
        <w:numPr>
          <w:ilvl w:val="0"/>
          <w:numId w:val="2"/>
        </w:numPr>
        <w:spacing w:after="90"/>
      </w:pPr>
      <w:r>
        <w:rPr>
          <w:color w:val="222222"/>
          <w:sz w:val="22"/>
          <w:szCs w:val="22"/>
        </w:rPr>
        <w:t xml:space="preserve">Offline-First — field data entry works in zero-connectivity rural areas via local queuing and auto-sync.</w:t>
      </w:r>
    </w:p>
    <w:p>
      <w:pPr>
        <w:pStyle w:val="Heading2"/>
        <w:spacing w:after="120" w:before="260"/>
      </w:pPr>
      <w:r>
        <w:rPr>
          <w:b/>
          <w:bCs/>
          <w:color w:val="1E7A3D"/>
          <w:sz w:val="24"/>
          <w:szCs w:val="24"/>
        </w:rPr>
        <w:t xml:space="preserve">3.2 Technology Stack (Prototype)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E7A3D" w:val="clear"/>
            <w:tcMar>
              <w:top w:type="dxa" w:w="100"/>
              <w:left w:type="dxa" w:w="120"/>
              <w:bottom w:type="dxa" w:w="100"/>
              <w:right w:type="dxa" w:w="120"/>
            </w:tcMar>
          </w:tcPr>
          <w:p>
            <w:r>
              <w:rPr>
                <w:b/>
                <w:bCs/>
                <w:color w:val="FFFFFF"/>
                <w:sz w:val="20"/>
                <w:szCs w:val="20"/>
              </w:rPr>
              <w:t xml:space="preserve">Layer</w:t>
            </w:r>
          </w:p>
        </w:tc>
        <w:tc>
          <w:tcPr>
            <w:tcW w:type="dxa" w:w="6300"/>
            <w:shd w:fill="1E7A3D" w:val="clear"/>
            <w:tcMar>
              <w:top w:type="dxa" w:w="100"/>
              <w:left w:type="dxa" w:w="120"/>
              <w:bottom w:type="dxa" w:w="100"/>
              <w:right w:type="dxa" w:w="120"/>
            </w:tcMar>
          </w:tcPr>
          <w:p>
            <w:r>
              <w:rPr>
                <w:b/>
                <w:bCs/>
                <w:color w:val="FFFFFF"/>
                <w:sz w:val="20"/>
                <w:szCs w:val="20"/>
              </w:rPr>
              <w:t xml:space="preserve">Technology</w:t>
            </w:r>
          </w:p>
        </w:tc>
      </w:tr>
      <w:tr>
        <w:tc>
          <w:tcPr>
            <w:tcW w:type="dxa" w:w="3200"/>
            <w:tcMar>
              <w:top w:type="dxa" w:w="100"/>
              <w:left w:type="dxa" w:w="120"/>
              <w:bottom w:type="dxa" w:w="100"/>
              <w:right w:type="dxa" w:w="120"/>
            </w:tcMar>
          </w:tcPr>
          <w:p>
            <w:r>
              <w:rPr>
                <w:b w:val="false"/>
                <w:bCs w:val="false"/>
                <w:color w:val="222222"/>
                <w:sz w:val="20"/>
                <w:szCs w:val="20"/>
              </w:rPr>
              <w:t xml:space="preserve">Frontend</w:t>
            </w:r>
          </w:p>
        </w:tc>
        <w:tc>
          <w:tcPr>
            <w:tcW w:type="dxa" w:w="6300"/>
            <w:tcMar>
              <w:top w:type="dxa" w:w="100"/>
              <w:left w:type="dxa" w:w="120"/>
              <w:bottom w:type="dxa" w:w="100"/>
              <w:right w:type="dxa" w:w="120"/>
            </w:tcMar>
          </w:tcPr>
          <w:p>
            <w:r>
              <w:rPr>
                <w:b w:val="false"/>
                <w:bCs w:val="false"/>
                <w:color w:val="222222"/>
                <w:sz w:val="20"/>
                <w:szCs w:val="20"/>
              </w:rPr>
              <w:t xml:space="preserve">Next.js 14 + TypeScript, Tailwind CSS, PWA</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Backend</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Next.js API Routes / Node.js services</w:t>
            </w:r>
          </w:p>
        </w:tc>
      </w:tr>
      <w:tr>
        <w:tc>
          <w:tcPr>
            <w:tcW w:type="dxa" w:w="3200"/>
            <w:tcMar>
              <w:top w:type="dxa" w:w="100"/>
              <w:left w:type="dxa" w:w="120"/>
              <w:bottom w:type="dxa" w:w="100"/>
              <w:right w:type="dxa" w:w="120"/>
            </w:tcMar>
          </w:tcPr>
          <w:p>
            <w:r>
              <w:rPr>
                <w:b w:val="false"/>
                <w:bCs w:val="false"/>
                <w:color w:val="222222"/>
                <w:sz w:val="20"/>
                <w:szCs w:val="20"/>
              </w:rPr>
              <w:t xml:space="preserve">Core Database</w:t>
            </w:r>
          </w:p>
        </w:tc>
        <w:tc>
          <w:tcPr>
            <w:tcW w:type="dxa" w:w="6300"/>
            <w:tcMar>
              <w:top w:type="dxa" w:w="100"/>
              <w:left w:type="dxa" w:w="120"/>
              <w:bottom w:type="dxa" w:w="100"/>
              <w:right w:type="dxa" w:w="120"/>
            </w:tcMar>
          </w:tcPr>
          <w:p>
            <w:r>
              <w:rPr>
                <w:b w:val="false"/>
                <w:bCs w:val="false"/>
                <w:color w:val="222222"/>
                <w:sz w:val="20"/>
                <w:szCs w:val="20"/>
              </w:rPr>
              <w:t xml:space="preserve">PostgreSQL 16.x</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Time-Series</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TimescaleDB (satellite NDVI, sensor data)</w:t>
            </w:r>
          </w:p>
        </w:tc>
      </w:tr>
      <w:tr>
        <w:tc>
          <w:tcPr>
            <w:tcW w:type="dxa" w:w="3200"/>
            <w:tcMar>
              <w:top w:type="dxa" w:w="100"/>
              <w:left w:type="dxa" w:w="120"/>
              <w:bottom w:type="dxa" w:w="100"/>
              <w:right w:type="dxa" w:w="120"/>
            </w:tcMar>
          </w:tcPr>
          <w:p>
            <w:r>
              <w:rPr>
                <w:b w:val="false"/>
                <w:bCs w:val="false"/>
                <w:color w:val="222222"/>
                <w:sz w:val="20"/>
                <w:szCs w:val="20"/>
              </w:rPr>
              <w:t xml:space="preserve">Cache / Queues</w:t>
            </w:r>
          </w:p>
        </w:tc>
        <w:tc>
          <w:tcPr>
            <w:tcW w:type="dxa" w:w="6300"/>
            <w:tcMar>
              <w:top w:type="dxa" w:w="100"/>
              <w:left w:type="dxa" w:w="120"/>
              <w:bottom w:type="dxa" w:w="100"/>
              <w:right w:type="dxa" w:w="120"/>
            </w:tcMar>
          </w:tcPr>
          <w:p>
            <w:r>
              <w:rPr>
                <w:b w:val="false"/>
                <w:bCs w:val="false"/>
                <w:color w:val="222222"/>
                <w:sz w:val="20"/>
                <w:szCs w:val="20"/>
              </w:rPr>
              <w:t xml:space="preserve">Redis 7.x (FCAE locks, job queues)</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Offline Sync</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Firebase Firestore</w:t>
            </w:r>
          </w:p>
        </w:tc>
      </w:tr>
      <w:tr>
        <w:tc>
          <w:tcPr>
            <w:tcW w:type="dxa" w:w="3200"/>
            <w:tcMar>
              <w:top w:type="dxa" w:w="100"/>
              <w:left w:type="dxa" w:w="120"/>
              <w:bottom w:type="dxa" w:w="100"/>
              <w:right w:type="dxa" w:w="120"/>
            </w:tcMar>
          </w:tcPr>
          <w:p>
            <w:r>
              <w:rPr>
                <w:b w:val="false"/>
                <w:bCs w:val="false"/>
                <w:color w:val="222222"/>
                <w:sz w:val="20"/>
                <w:szCs w:val="20"/>
              </w:rPr>
              <w:t xml:space="preserve">File Storage</w:t>
            </w:r>
          </w:p>
        </w:tc>
        <w:tc>
          <w:tcPr>
            <w:tcW w:type="dxa" w:w="6300"/>
            <w:tcMar>
              <w:top w:type="dxa" w:w="100"/>
              <w:left w:type="dxa" w:w="120"/>
              <w:bottom w:type="dxa" w:w="100"/>
              <w:right w:type="dxa" w:w="120"/>
            </w:tcMar>
          </w:tcPr>
          <w:p>
            <w:r>
              <w:rPr>
                <w:b w:val="false"/>
                <w:bCs w:val="false"/>
                <w:color w:val="222222"/>
                <w:sz w:val="20"/>
                <w:szCs w:val="20"/>
              </w:rPr>
              <w:t xml:space="preserve">Firebase Storage / Cloudflare R2</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Satellite / MRV</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Google Earth Engine, Sentinel-2, Landsat-9, Bhuvan/ISRO</w:t>
            </w:r>
          </w:p>
        </w:tc>
      </w:tr>
      <w:tr>
        <w:tc>
          <w:tcPr>
            <w:tcW w:type="dxa" w:w="3200"/>
            <w:tcMar>
              <w:top w:type="dxa" w:w="100"/>
              <w:left w:type="dxa" w:w="120"/>
              <w:bottom w:type="dxa" w:w="100"/>
              <w:right w:type="dxa" w:w="120"/>
            </w:tcMar>
          </w:tcPr>
          <w:p>
            <w:r>
              <w:rPr>
                <w:b w:val="false"/>
                <w:bCs w:val="false"/>
                <w:color w:val="222222"/>
                <w:sz w:val="20"/>
                <w:szCs w:val="20"/>
              </w:rPr>
              <w:t xml:space="preserve">Payments</w:t>
            </w:r>
          </w:p>
        </w:tc>
        <w:tc>
          <w:tcPr>
            <w:tcW w:type="dxa" w:w="6300"/>
            <w:tcMar>
              <w:top w:type="dxa" w:w="100"/>
              <w:left w:type="dxa" w:w="120"/>
              <w:bottom w:type="dxa" w:w="100"/>
              <w:right w:type="dxa" w:w="120"/>
            </w:tcMar>
          </w:tcPr>
          <w:p>
            <w:r>
              <w:rPr>
                <w:b w:val="false"/>
                <w:bCs w:val="false"/>
                <w:color w:val="222222"/>
                <w:sz w:val="20"/>
                <w:szCs w:val="20"/>
              </w:rPr>
              <w:t xml:space="preserve">Razorpay (UPI/NEFT)</w:t>
            </w:r>
          </w:p>
        </w:tc>
      </w:tr>
      <w:tr>
        <w:tc>
          <w:tcPr>
            <w:tcW w:type="dxa" w:w="3200"/>
            <w:shd w:fill="EAF5EC" w:val="clear"/>
            <w:tcMar>
              <w:top w:type="dxa" w:w="100"/>
              <w:left w:type="dxa" w:w="120"/>
              <w:bottom w:type="dxa" w:w="100"/>
              <w:right w:type="dxa" w:w="120"/>
            </w:tcMar>
          </w:tcPr>
          <w:p>
            <w:r>
              <w:rPr>
                <w:b w:val="false"/>
                <w:bCs w:val="false"/>
                <w:color w:val="222222"/>
                <w:sz w:val="20"/>
                <w:szCs w:val="20"/>
              </w:rPr>
              <w:t xml:space="preserve">Smart Contract</w:t>
            </w:r>
          </w:p>
        </w:tc>
        <w:tc>
          <w:tcPr>
            <w:tcW w:type="dxa" w:w="6300"/>
            <w:shd w:fill="EAF5EC" w:val="clear"/>
            <w:tcMar>
              <w:top w:type="dxa" w:w="100"/>
              <w:left w:type="dxa" w:w="120"/>
              <w:bottom w:type="dxa" w:w="100"/>
              <w:right w:type="dxa" w:w="120"/>
            </w:tcMar>
          </w:tcPr>
          <w:p>
            <w:r>
              <w:rPr>
                <w:b w:val="false"/>
                <w:bCs w:val="false"/>
                <w:color w:val="222222"/>
                <w:sz w:val="20"/>
                <w:szCs w:val="20"/>
              </w:rPr>
              <w:t xml:space="preserve">Solidity + Hardhat, Polygon Amoy testnet → Mainnet</w:t>
            </w:r>
          </w:p>
        </w:tc>
      </w:tr>
    </w:tbl>
    <w:p>
      <w:r>
        <w:br w:type="page"/>
      </w:r>
    </w:p>
    <w:p>
      <w:pPr>
        <w:pStyle w:val="Heading1"/>
        <w:spacing w:after="160" w:before="320"/>
      </w:pPr>
      <w:r>
        <w:rPr>
          <w:b/>
          <w:bCs/>
          <w:color w:val="144D28"/>
          <w:sz w:val="30"/>
          <w:szCs w:val="30"/>
        </w:rPr>
        <w:t xml:space="preserve">4. Research Contribution &amp; Novelty</w:t>
      </w:r>
    </w:p>
    <w:p>
      <w:pPr>
        <w:spacing w:after="160" w:line="300"/>
      </w:pPr>
      <w:r>
        <w:rPr>
          <w:color w:val="222222"/>
          <w:sz w:val="22"/>
          <w:szCs w:val="22"/>
        </w:rPr>
        <w:t xml:space="preserve">The mentor's requirement is a research paper with a genuinely novel contribution, suitable for publication. A platform-level claim ("an integrated carbon-agri-ESG platform") is a product novelty, not a research novelty, and is not by itself publishable. The team has therefore identified a specific, self-contained sub-system within GreenChain to formalise as the paper's core contribution.</w:t>
      </w:r>
    </w:p>
    <w:p>
      <w:pPr>
        <w:pStyle w:val="Heading2"/>
        <w:spacing w:after="120" w:before="260"/>
      </w:pPr>
      <w:r>
        <w:rPr>
          <w:b/>
          <w:bCs/>
          <w:color w:val="1E7A3D"/>
          <w:sz w:val="24"/>
          <w:szCs w:val="24"/>
        </w:rPr>
        <w:t xml:space="preserve">4.1 Selected Research Focus</w:t>
      </w:r>
    </w:p>
    <w:p>
      <w:pPr>
        <w:spacing w:after="160" w:line="300"/>
      </w:pPr>
      <w:r>
        <w:rPr>
          <w:color w:val="222222"/>
          <w:sz w:val="22"/>
          <w:szCs w:val="22"/>
        </w:rPr>
        <w:t xml:space="preserve"/>
      </w:r>
    </w:p>
    <w:p>
      <w:pPr>
        <w:spacing w:after="160"/>
      </w:pPr>
      <w:r>
        <w:rPr>
          <w:b/>
          <w:bCs/>
          <w:color w:val="144D28"/>
          <w:sz w:val="22"/>
          <w:szCs w:val="22"/>
        </w:rPr>
        <w:t xml:space="preserve">Working Title: </w:t>
      </w:r>
      <w:r>
        <w:rPr>
          <w:i/>
          <w:iCs/>
          <w:sz w:val="22"/>
          <w:szCs w:val="22"/>
        </w:rPr>
        <w:t xml:space="preserve">"A Reputation-Gated Fair Allocation Mechanism for Peer-to-Bulk Resource Distribution in Agricultural Carbon Markets"</w:t>
      </w:r>
    </w:p>
    <w:p>
      <w:pPr>
        <w:spacing w:after="160" w:line="300"/>
      </w:pPr>
      <w:r>
        <w:rPr>
          <w:color w:val="222222"/>
          <w:sz w:val="22"/>
          <w:szCs w:val="22"/>
        </w:rPr>
        <w:t xml:space="preserve">This centres on two coupled mechanisms already designed within GreenChain: the Farmer Reliability Point System (FRPS), a multi-tier reputation score computed from verified farmer actions, and the Fair Credit Allocation Engine (FCAE), a Redis-backed round-robin mechanism that distributes corporate bulk carbon-credit orders across many farmers while preventing any single farmer from dominating an order and preventing allocation starvation for lower-tier farmers.</w:t>
      </w:r>
    </w:p>
    <w:p>
      <w:pPr>
        <w:pStyle w:val="Heading2"/>
        <w:spacing w:after="120" w:before="260"/>
      </w:pPr>
      <w:r>
        <w:rPr>
          <w:b/>
          <w:bCs/>
          <w:color w:val="1E7A3D"/>
          <w:sz w:val="24"/>
          <w:szCs w:val="24"/>
        </w:rPr>
        <w:t xml:space="preserve">4.2 Why This Is a Defensible Research Contribution</w:t>
      </w:r>
    </w:p>
    <w:p>
      <w:pPr>
        <w:pStyle w:val="ListParagraph"/>
        <w:numPr>
          <w:ilvl w:val="0"/>
          <w:numId w:val="2"/>
        </w:numPr>
        <w:spacing w:after="90"/>
      </w:pPr>
      <w:r>
        <w:rPr>
          <w:color w:val="222222"/>
          <w:sz w:val="22"/>
          <w:szCs w:val="22"/>
        </w:rPr>
        <w:t xml:space="preserve">Self-contained: the algorithm can be evaluated independently of satellite data, blockchain infrastructure, or live farmer traffic — it can be rigorously tested with simulated and real transaction data.</w:t>
      </w:r>
    </w:p>
    <w:p>
      <w:pPr>
        <w:pStyle w:val="ListParagraph"/>
        <w:numPr>
          <w:ilvl w:val="0"/>
          <w:numId w:val="2"/>
        </w:numPr>
        <w:spacing w:after="90"/>
      </w:pPr>
      <w:r>
        <w:rPr>
          <w:color w:val="222222"/>
          <w:sz w:val="22"/>
          <w:szCs w:val="22"/>
        </w:rPr>
        <w:t xml:space="preserve">Formalisable: FRPS scoring and FCAE allocation can be written as explicit mathematical/algorithmic definitions rather than described only as system behaviour.</w:t>
      </w:r>
    </w:p>
    <w:p>
      <w:pPr>
        <w:pStyle w:val="ListParagraph"/>
        <w:numPr>
          <w:ilvl w:val="0"/>
          <w:numId w:val="2"/>
        </w:numPr>
        <w:spacing w:after="90"/>
      </w:pPr>
      <w:r>
        <w:rPr>
          <w:color w:val="222222"/>
          <w:sz w:val="22"/>
          <w:szCs w:val="22"/>
        </w:rPr>
        <w:t xml:space="preserve">Measurable: fairness, throughput, and starvation-prevention can be benchmarked against standard baseline allocation strategies using established fairness metrics.</w:t>
      </w:r>
    </w:p>
    <w:p>
      <w:pPr>
        <w:pStyle w:val="ListParagraph"/>
        <w:numPr>
          <w:ilvl w:val="0"/>
          <w:numId w:val="2"/>
        </w:numPr>
        <w:spacing w:after="90"/>
      </w:pPr>
      <w:r>
        <w:rPr>
          <w:color w:val="222222"/>
          <w:sz w:val="22"/>
          <w:szCs w:val="22"/>
        </w:rPr>
        <w:t xml:space="preserve">Comparable to literature: reputation-gated resource allocation has related work in ride-sharing dispatch, crowdsourcing task allocation, and P2P energy trading — giving a concrete related-work base to position novelty against, rather than an unclaimed vacuum.</w:t>
      </w:r>
    </w:p>
    <w:p>
      <w:pPr>
        <w:pStyle w:val="Heading2"/>
        <w:spacing w:after="120" w:before="260"/>
      </w:pPr>
      <w:r>
        <w:rPr>
          <w:b/>
          <w:bCs/>
          <w:color w:val="1E7A3D"/>
          <w:sz w:val="24"/>
          <w:szCs w:val="24"/>
        </w:rPr>
        <w:t xml:space="preserve">4.3 Research Question</w:t>
      </w:r>
    </w:p>
    <w:p>
      <w:pPr>
        <w:spacing w:after="160" w:line="300"/>
      </w:pPr>
      <w:r>
        <w:rPr>
          <w:color w:val="222222"/>
          <w:sz w:val="22"/>
          <w:szCs w:val="22"/>
        </w:rPr>
        <w:t xml:space="preserve">Does reputation-gated, capped round-robin allocation (FCAE, gated by FRPS tiers) reduce allocation inequality and prevent farmer starvation in bulk carbon-credit distribution, compared to first-come-first-served and pure reputation-ranked allocation baselines — without materially reducing corporate buyer satisfaction (fulfilment latency, order completeness)?</w:t>
      </w:r>
    </w:p>
    <w:p>
      <w:pPr>
        <w:pStyle w:val="Heading2"/>
        <w:spacing w:after="120" w:before="260"/>
      </w:pPr>
      <w:r>
        <w:rPr>
          <w:b/>
          <w:bCs/>
          <w:color w:val="1E7A3D"/>
          <w:sz w:val="24"/>
          <w:szCs w:val="24"/>
        </w:rPr>
        <w:t xml:space="preserve">4.4 Novelty Verification (Action Required Before Full Commitment)</w:t>
      </w:r>
    </w:p>
    <w:p>
      <w:pPr>
        <w:spacing w:after="160" w:line="300"/>
      </w:pPr>
      <w:r>
        <w:rPr>
          <w:color w:val="222222"/>
          <w:sz w:val="22"/>
          <w:szCs w:val="22"/>
        </w:rPr>
        <w:t xml:space="preserve">Before the mentor and team commit to this as the publishable claim, a structured literature search must confirm the gap. This is Phase 1 of the plan in Section 6 and should not be skipped — claiming novelty without a related-work search is the most common reason such papers are rejected at first review.</w:t>
      </w:r>
    </w:p>
    <w:p>
      <w:pPr>
        <w:pStyle w:val="ListParagraph"/>
        <w:numPr>
          <w:ilvl w:val="0"/>
          <w:numId w:val="2"/>
        </w:numPr>
        <w:spacing w:after="90"/>
      </w:pPr>
      <w:r>
        <w:rPr>
          <w:color w:val="222222"/>
          <w:sz w:val="22"/>
          <w:szCs w:val="22"/>
        </w:rPr>
        <w:t xml:space="preserve">Search areas: reputation systems in agricultural platforms, fair allocation algorithms in carbon/credit markets, round-robin fairness mechanisms in blockchain-adjacent fintech, gig-economy dispatch fairness.</w:t>
      </w:r>
    </w:p>
    <w:p>
      <w:pPr>
        <w:pStyle w:val="ListParagraph"/>
        <w:numPr>
          <w:ilvl w:val="0"/>
          <w:numId w:val="2"/>
        </w:numPr>
        <w:spacing w:after="90"/>
      </w:pPr>
      <w:r>
        <w:rPr>
          <w:color w:val="222222"/>
          <w:sz w:val="22"/>
          <w:szCs w:val="22"/>
        </w:rPr>
        <w:t xml:space="preserve">Databases: Google Scholar, IEEE Xplore, ACM Digital Library, Scopus.</w:t>
      </w:r>
    </w:p>
    <w:p>
      <w:pPr>
        <w:pStyle w:val="ListParagraph"/>
        <w:numPr>
          <w:ilvl w:val="0"/>
          <w:numId w:val="2"/>
        </w:numPr>
        <w:spacing w:after="90"/>
      </w:pPr>
      <w:r>
        <w:rPr>
          <w:color w:val="222222"/>
          <w:sz w:val="22"/>
          <w:szCs w:val="22"/>
        </w:rPr>
        <w:t xml:space="preserve">Outcome: either confirm the gap (proceed as planned), or narrow the claim further if partial overlap is found (e.g. novelty in the specific multi-tier commission-linked variant, rather than the general mechanism).</w:t>
      </w:r>
    </w:p>
    <w:p>
      <w:pPr>
        <w:pStyle w:val="Heading1"/>
        <w:spacing w:after="160" w:before="320"/>
      </w:pPr>
      <w:r>
        <w:rPr>
          <w:b/>
          <w:bCs/>
          <w:color w:val="144D28"/>
          <w:sz w:val="30"/>
          <w:szCs w:val="30"/>
        </w:rPr>
        <w:t xml:space="preserve">5. Research Methodology</w:t>
      </w:r>
    </w:p>
    <w:p>
      <w:pPr>
        <w:pStyle w:val="Heading2"/>
        <w:spacing w:after="120" w:before="260"/>
      </w:pPr>
      <w:r>
        <w:rPr>
          <w:b/>
          <w:bCs/>
          <w:color w:val="1E7A3D"/>
          <w:sz w:val="24"/>
          <w:szCs w:val="24"/>
        </w:rPr>
        <w:t xml:space="preserve">5.1 Algorithm Definition</w:t>
      </w:r>
    </w:p>
    <w:p>
      <w:pPr>
        <w:spacing w:after="160" w:line="300"/>
      </w:pPr>
      <w:r>
        <w:rPr>
          <w:color w:val="222222"/>
          <w:sz w:val="22"/>
          <w:szCs w:val="22"/>
        </w:rPr>
        <w:t xml:space="preserve">FRPS assigns each farmer a score in the range 0–1,000 based on weighted actions (geo-tagged proof upload, NGO verification, sustainable practice confirmation, produce sold, healthy NDVI reading) with penalties for violations (late submission, disputes raised). The score maps to four tiers — Platinum, Gold, Silver, Bronze — each with a different commission rate and allocation priority.</w:t>
      </w:r>
    </w:p>
    <w:p>
      <w:pPr>
        <w:spacing w:after="160" w:line="300"/>
      </w:pPr>
      <w:r>
        <w:rPr>
          <w:color w:val="222222"/>
          <w:sz w:val="22"/>
          <w:szCs w:val="22"/>
        </w:rPr>
        <w:t xml:space="preserve">FCAE allocates a corporate bulk order across eligible farmers by: (1) fetching available credits under row-level lock, (2) grouping by farmer and reading a fairness weight from Redis, (3) sorting ascending by weight so the least-recently-allocated eligible farmer is prioritised, (4) capping any single farmer at a fixed percentage of total order size, and (5) using a short-TTL distributed lock to prevent race conditions during concurrent allocation.</w:t>
      </w:r>
    </w:p>
    <w:p>
      <w:pPr>
        <w:pStyle w:val="Heading2"/>
        <w:spacing w:after="120" w:before="260"/>
      </w:pPr>
      <w:r>
        <w:rPr>
          <w:b/>
          <w:bCs/>
          <w:color w:val="1E7A3D"/>
          <w:sz w:val="24"/>
          <w:szCs w:val="24"/>
        </w:rPr>
        <w:t xml:space="preserve">5.2 Evaluation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E7A3D" w:val="clear"/>
            <w:tcMar>
              <w:top w:type="dxa" w:w="100"/>
              <w:left w:type="dxa" w:w="120"/>
              <w:bottom w:type="dxa" w:w="100"/>
              <w:right w:type="dxa" w:w="120"/>
            </w:tcMar>
          </w:tcPr>
          <w:p>
            <w:r>
              <w:rPr>
                <w:b/>
                <w:bCs/>
                <w:color w:val="FFFFFF"/>
                <w:sz w:val="20"/>
                <w:szCs w:val="20"/>
              </w:rPr>
              <w:t xml:space="preserve">Metric</w:t>
            </w:r>
          </w:p>
        </w:tc>
        <w:tc>
          <w:tcPr>
            <w:tcW w:type="dxa" w:w="5300"/>
            <w:shd w:fill="1E7A3D" w:val="clear"/>
            <w:tcMar>
              <w:top w:type="dxa" w:w="100"/>
              <w:left w:type="dxa" w:w="120"/>
              <w:bottom w:type="dxa" w:w="100"/>
              <w:right w:type="dxa" w:w="120"/>
            </w:tcMar>
          </w:tcPr>
          <w:p>
            <w:r>
              <w:rPr>
                <w:b/>
                <w:bCs/>
                <w:color w:val="FFFFFF"/>
                <w:sz w:val="20"/>
                <w:szCs w:val="20"/>
              </w:rPr>
              <w:t xml:space="preserve">Purpose</w:t>
            </w:r>
          </w:p>
        </w:tc>
      </w:tr>
      <w:tr>
        <w:tc>
          <w:tcPr>
            <w:tcW w:type="dxa" w:w="4200"/>
            <w:tcMar>
              <w:top w:type="dxa" w:w="100"/>
              <w:left w:type="dxa" w:w="120"/>
              <w:bottom w:type="dxa" w:w="100"/>
              <w:right w:type="dxa" w:w="120"/>
            </w:tcMar>
          </w:tcPr>
          <w:p>
            <w:r>
              <w:rPr>
                <w:b w:val="false"/>
                <w:bCs w:val="false"/>
                <w:color w:val="222222"/>
                <w:sz w:val="20"/>
                <w:szCs w:val="20"/>
              </w:rPr>
              <w:t xml:space="preserve">Gini coefficient of allocation</w:t>
            </w:r>
          </w:p>
        </w:tc>
        <w:tc>
          <w:tcPr>
            <w:tcW w:type="dxa" w:w="5300"/>
            <w:tcMar>
              <w:top w:type="dxa" w:w="100"/>
              <w:left w:type="dxa" w:w="120"/>
              <w:bottom w:type="dxa" w:w="100"/>
              <w:right w:type="dxa" w:w="120"/>
            </w:tcMar>
          </w:tcPr>
          <w:p>
            <w:r>
              <w:rPr>
                <w:b w:val="false"/>
                <w:bCs w:val="false"/>
                <w:color w:val="222222"/>
                <w:sz w:val="20"/>
                <w:szCs w:val="20"/>
              </w:rPr>
              <w:t xml:space="preserve">Measures inequality of credits distributed across farmers</w:t>
            </w:r>
          </w:p>
        </w:tc>
      </w:tr>
      <w:tr>
        <w:tc>
          <w:tcPr>
            <w:tcW w:type="dxa" w:w="4200"/>
            <w:shd w:fill="EAF5EC" w:val="clear"/>
            <w:tcMar>
              <w:top w:type="dxa" w:w="100"/>
              <w:left w:type="dxa" w:w="120"/>
              <w:bottom w:type="dxa" w:w="100"/>
              <w:right w:type="dxa" w:w="120"/>
            </w:tcMar>
          </w:tcPr>
          <w:p>
            <w:r>
              <w:rPr>
                <w:b w:val="false"/>
                <w:bCs w:val="false"/>
                <w:color w:val="222222"/>
                <w:sz w:val="20"/>
                <w:szCs w:val="20"/>
              </w:rPr>
              <w:t xml:space="preserve">Starvation rate</w:t>
            </w:r>
          </w:p>
        </w:tc>
        <w:tc>
          <w:tcPr>
            <w:tcW w:type="dxa" w:w="5300"/>
            <w:shd w:fill="EAF5EC" w:val="clear"/>
            <w:tcMar>
              <w:top w:type="dxa" w:w="100"/>
              <w:left w:type="dxa" w:w="120"/>
              <w:bottom w:type="dxa" w:w="100"/>
              <w:right w:type="dxa" w:w="120"/>
            </w:tcMar>
          </w:tcPr>
          <w:p>
            <w:r>
              <w:rPr>
                <w:b w:val="false"/>
                <w:bCs w:val="false"/>
                <w:color w:val="222222"/>
                <w:sz w:val="20"/>
                <w:szCs w:val="20"/>
              </w:rPr>
              <w:t xml:space="preserve">% of eligible farmers receiving zero allocation over a rolling window</w:t>
            </w:r>
          </w:p>
        </w:tc>
      </w:tr>
      <w:tr>
        <w:tc>
          <w:tcPr>
            <w:tcW w:type="dxa" w:w="4200"/>
            <w:tcMar>
              <w:top w:type="dxa" w:w="100"/>
              <w:left w:type="dxa" w:w="120"/>
              <w:bottom w:type="dxa" w:w="100"/>
              <w:right w:type="dxa" w:w="120"/>
            </w:tcMar>
          </w:tcPr>
          <w:p>
            <w:r>
              <w:rPr>
                <w:b w:val="false"/>
                <w:bCs w:val="false"/>
                <w:color w:val="222222"/>
                <w:sz w:val="20"/>
                <w:szCs w:val="20"/>
              </w:rPr>
              <w:t xml:space="preserve">Allocation latency</w:t>
            </w:r>
          </w:p>
        </w:tc>
        <w:tc>
          <w:tcPr>
            <w:tcW w:type="dxa" w:w="5300"/>
            <w:tcMar>
              <w:top w:type="dxa" w:w="100"/>
              <w:left w:type="dxa" w:w="120"/>
              <w:bottom w:type="dxa" w:w="100"/>
              <w:right w:type="dxa" w:w="120"/>
            </w:tcMar>
          </w:tcPr>
          <w:p>
            <w:r>
              <w:rPr>
                <w:b w:val="false"/>
                <w:bCs w:val="false"/>
                <w:color w:val="222222"/>
                <w:sz w:val="20"/>
                <w:szCs w:val="20"/>
              </w:rPr>
              <w:t xml:space="preserve">Time to fulfil a corporate bulk order</w:t>
            </w:r>
          </w:p>
        </w:tc>
      </w:tr>
      <w:tr>
        <w:tc>
          <w:tcPr>
            <w:tcW w:type="dxa" w:w="4200"/>
            <w:shd w:fill="EAF5EC" w:val="clear"/>
            <w:tcMar>
              <w:top w:type="dxa" w:w="100"/>
              <w:left w:type="dxa" w:w="120"/>
              <w:bottom w:type="dxa" w:w="100"/>
              <w:right w:type="dxa" w:w="120"/>
            </w:tcMar>
          </w:tcPr>
          <w:p>
            <w:r>
              <w:rPr>
                <w:b w:val="false"/>
                <w:bCs w:val="false"/>
                <w:color w:val="222222"/>
                <w:sz w:val="20"/>
                <w:szCs w:val="20"/>
              </w:rPr>
              <w:t xml:space="preserve">Order fulfilment completeness</w:t>
            </w:r>
          </w:p>
        </w:tc>
        <w:tc>
          <w:tcPr>
            <w:tcW w:type="dxa" w:w="5300"/>
            <w:shd w:fill="EAF5EC" w:val="clear"/>
            <w:tcMar>
              <w:top w:type="dxa" w:w="100"/>
              <w:left w:type="dxa" w:w="120"/>
              <w:bottom w:type="dxa" w:w="100"/>
              <w:right w:type="dxa" w:w="120"/>
            </w:tcMar>
          </w:tcPr>
          <w:p>
            <w:r>
              <w:rPr>
                <w:b w:val="false"/>
                <w:bCs w:val="false"/>
                <w:color w:val="222222"/>
                <w:sz w:val="20"/>
                <w:szCs w:val="20"/>
              </w:rPr>
              <w:t xml:space="preserve">% of requested order size actually allocated</w:t>
            </w:r>
          </w:p>
        </w:tc>
      </w:tr>
      <w:tr>
        <w:tc>
          <w:tcPr>
            <w:tcW w:type="dxa" w:w="4200"/>
            <w:tcMar>
              <w:top w:type="dxa" w:w="100"/>
              <w:left w:type="dxa" w:w="120"/>
              <w:bottom w:type="dxa" w:w="100"/>
              <w:right w:type="dxa" w:w="120"/>
            </w:tcMar>
          </w:tcPr>
          <w:p>
            <w:r>
              <w:rPr>
                <w:b w:val="false"/>
                <w:bCs w:val="false"/>
                <w:color w:val="222222"/>
                <w:sz w:val="20"/>
                <w:szCs w:val="20"/>
              </w:rPr>
              <w:t xml:space="preserve">Commission-adjusted farmer income spread</w:t>
            </w:r>
          </w:p>
        </w:tc>
        <w:tc>
          <w:tcPr>
            <w:tcW w:type="dxa" w:w="5300"/>
            <w:tcMar>
              <w:top w:type="dxa" w:w="100"/>
              <w:left w:type="dxa" w:w="120"/>
              <w:bottom w:type="dxa" w:w="100"/>
              <w:right w:type="dxa" w:w="120"/>
            </w:tcMar>
          </w:tcPr>
          <w:p>
            <w:r>
              <w:rPr>
                <w:b w:val="false"/>
                <w:bCs w:val="false"/>
                <w:color w:val="222222"/>
                <w:sz w:val="20"/>
                <w:szCs w:val="20"/>
              </w:rPr>
              <w:t xml:space="preserve">Distribution of effective earnings across FRPS tiers</w:t>
            </w:r>
          </w:p>
        </w:tc>
      </w:tr>
    </w:tbl>
    <w:p>
      <w:pPr>
        <w:spacing w:before="200"/>
      </w:pPr>
    </w:p>
    <w:p>
      <w:pPr>
        <w:spacing w:after="160" w:line="300"/>
      </w:pPr>
      <w:r>
        <w:rPr>
          <w:color w:val="222222"/>
          <w:sz w:val="22"/>
          <w:szCs w:val="22"/>
        </w:rPr>
        <w:t xml:space="preserve">Baselines for comparison: (a) first-come-first-served allocation, (b) pure reputation-rank allocation with no cap or fairness weighting. FCAE will be evaluated against both using simulated order/farmer datasets of varying scale, and, once the MVP is live, real transaction logs.</w:t>
      </w:r>
    </w:p>
    <w:p>
      <w:r>
        <w:br w:type="page"/>
      </w:r>
    </w:p>
    <w:p>
      <w:pPr>
        <w:pStyle w:val="Heading1"/>
        <w:spacing w:after="160" w:before="320"/>
      </w:pPr>
      <w:r>
        <w:rPr>
          <w:b/>
          <w:bCs/>
          <w:color w:val="144D28"/>
          <w:sz w:val="30"/>
          <w:szCs w:val="30"/>
        </w:rPr>
        <w:t xml:space="preserve">6. Combined Development &amp; Research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300"/>
        <w:gridCol w:w="3300"/>
      </w:tblGrid>
      <w:tr>
        <w:trPr>
          <w:tblHeader/>
        </w:trPr>
        <w:tc>
          <w:tcPr>
            <w:tcW w:type="dxa" w:w="1400"/>
            <w:shd w:fill="1E7A3D" w:val="clear"/>
            <w:tcMar>
              <w:top w:type="dxa" w:w="100"/>
              <w:left w:type="dxa" w:w="120"/>
              <w:bottom w:type="dxa" w:w="100"/>
              <w:right w:type="dxa" w:w="120"/>
            </w:tcMar>
          </w:tcPr>
          <w:p>
            <w:r>
              <w:rPr>
                <w:b/>
                <w:bCs/>
                <w:color w:val="FFFFFF"/>
                <w:sz w:val="20"/>
                <w:szCs w:val="20"/>
              </w:rPr>
              <w:t xml:space="preserve">Phase</w:t>
            </w:r>
          </w:p>
        </w:tc>
        <w:tc>
          <w:tcPr>
            <w:tcW w:type="dxa" w:w="1500"/>
            <w:shd w:fill="1E7A3D" w:val="clear"/>
            <w:tcMar>
              <w:top w:type="dxa" w:w="100"/>
              <w:left w:type="dxa" w:w="120"/>
              <w:bottom w:type="dxa" w:w="100"/>
              <w:right w:type="dxa" w:w="120"/>
            </w:tcMar>
          </w:tcPr>
          <w:p>
            <w:r>
              <w:rPr>
                <w:b/>
                <w:bCs/>
                <w:color w:val="FFFFFF"/>
                <w:sz w:val="20"/>
                <w:szCs w:val="20"/>
              </w:rPr>
              <w:t xml:space="preserve">Timeline</w:t>
            </w:r>
          </w:p>
        </w:tc>
        <w:tc>
          <w:tcPr>
            <w:tcW w:type="dxa" w:w="3300"/>
            <w:shd w:fill="1E7A3D" w:val="clear"/>
            <w:tcMar>
              <w:top w:type="dxa" w:w="100"/>
              <w:left w:type="dxa" w:w="120"/>
              <w:bottom w:type="dxa" w:w="100"/>
              <w:right w:type="dxa" w:w="120"/>
            </w:tcMar>
          </w:tcPr>
          <w:p>
            <w:r>
              <w:rPr>
                <w:b/>
                <w:bCs/>
                <w:color w:val="FFFFFF"/>
                <w:sz w:val="20"/>
                <w:szCs w:val="20"/>
              </w:rPr>
              <w:t xml:space="preserve">Product Milestones</w:t>
            </w:r>
          </w:p>
        </w:tc>
        <w:tc>
          <w:tcPr>
            <w:tcW w:type="dxa" w:w="3300"/>
            <w:shd w:fill="1E7A3D" w:val="clear"/>
            <w:tcMar>
              <w:top w:type="dxa" w:w="100"/>
              <w:left w:type="dxa" w:w="120"/>
              <w:bottom w:type="dxa" w:w="100"/>
              <w:right w:type="dxa" w:w="120"/>
            </w:tcMar>
          </w:tcPr>
          <w:p>
            <w:r>
              <w:rPr>
                <w:b/>
                <w:bCs/>
                <w:color w:val="FFFFFF"/>
                <w:sz w:val="20"/>
                <w:szCs w:val="20"/>
              </w:rPr>
              <w:t xml:space="preserve">Research Milestones</w:t>
            </w:r>
          </w:p>
        </w:tc>
      </w:tr>
      <w:tr>
        <w:tc>
          <w:tcPr>
            <w:tcW w:type="dxa" w:w="1400"/>
            <w:tcMar>
              <w:top w:type="dxa" w:w="100"/>
              <w:left w:type="dxa" w:w="120"/>
              <w:bottom w:type="dxa" w:w="100"/>
              <w:right w:type="dxa" w:w="120"/>
            </w:tcMar>
          </w:tcPr>
          <w:p>
            <w:r>
              <w:rPr>
                <w:b w:val="false"/>
                <w:bCs w:val="false"/>
                <w:color w:val="222222"/>
                <w:sz w:val="20"/>
                <w:szCs w:val="20"/>
              </w:rPr>
              <w:t xml:space="preserve">Phase 0</w:t>
            </w:r>
          </w:p>
        </w:tc>
        <w:tc>
          <w:tcPr>
            <w:tcW w:type="dxa" w:w="1500"/>
            <w:tcMar>
              <w:top w:type="dxa" w:w="100"/>
              <w:left w:type="dxa" w:w="120"/>
              <w:bottom w:type="dxa" w:w="100"/>
              <w:right w:type="dxa" w:w="120"/>
            </w:tcMar>
          </w:tcPr>
          <w:p>
            <w:r>
              <w:rPr>
                <w:b w:val="false"/>
                <w:bCs w:val="false"/>
                <w:color w:val="222222"/>
                <w:sz w:val="20"/>
                <w:szCs w:val="20"/>
              </w:rPr>
              <w:t xml:space="preserve">Weeks 1–2</w:t>
            </w:r>
          </w:p>
        </w:tc>
        <w:tc>
          <w:tcPr>
            <w:tcW w:type="dxa" w:w="3300"/>
            <w:tcMar>
              <w:top w:type="dxa" w:w="100"/>
              <w:left w:type="dxa" w:w="120"/>
              <w:bottom w:type="dxa" w:w="100"/>
              <w:right w:type="dxa" w:w="120"/>
            </w:tcMar>
          </w:tcPr>
          <w:p>
            <w:r>
              <w:rPr>
                <w:b w:val="false"/>
                <w:bCs w:val="false"/>
                <w:color w:val="222222"/>
                <w:sz w:val="20"/>
                <w:szCs w:val="20"/>
              </w:rPr>
              <w:t xml:space="preserve">Finalise scope, tech stack setup</w:t>
            </w:r>
          </w:p>
        </w:tc>
        <w:tc>
          <w:tcPr>
            <w:tcW w:type="dxa" w:w="3300"/>
            <w:tcMar>
              <w:top w:type="dxa" w:w="100"/>
              <w:left w:type="dxa" w:w="120"/>
              <w:bottom w:type="dxa" w:w="100"/>
              <w:right w:type="dxa" w:w="120"/>
            </w:tcMar>
          </w:tcPr>
          <w:p>
            <w:r>
              <w:rPr>
                <w:b w:val="false"/>
                <w:bCs w:val="false"/>
                <w:color w:val="222222"/>
                <w:sz w:val="20"/>
                <w:szCs w:val="20"/>
              </w:rPr>
              <w:t xml:space="preserve">Literature review; confirm novelty gap</w:t>
            </w:r>
          </w:p>
        </w:tc>
      </w:tr>
      <w:tr>
        <w:tc>
          <w:tcPr>
            <w:tcW w:type="dxa" w:w="1400"/>
            <w:shd w:fill="EAF5EC" w:val="clear"/>
            <w:tcMar>
              <w:top w:type="dxa" w:w="100"/>
              <w:left w:type="dxa" w:w="120"/>
              <w:bottom w:type="dxa" w:w="100"/>
              <w:right w:type="dxa" w:w="120"/>
            </w:tcMar>
          </w:tcPr>
          <w:p>
            <w:r>
              <w:rPr>
                <w:b w:val="false"/>
                <w:bCs w:val="false"/>
                <w:color w:val="222222"/>
                <w:sz w:val="20"/>
                <w:szCs w:val="20"/>
              </w:rPr>
              <w:t xml:space="preserve">Phase 1</w:t>
            </w:r>
          </w:p>
        </w:tc>
        <w:tc>
          <w:tcPr>
            <w:tcW w:type="dxa" w:w="1500"/>
            <w:shd w:fill="EAF5EC" w:val="clear"/>
            <w:tcMar>
              <w:top w:type="dxa" w:w="100"/>
              <w:left w:type="dxa" w:w="120"/>
              <w:bottom w:type="dxa" w:w="100"/>
              <w:right w:type="dxa" w:w="120"/>
            </w:tcMar>
          </w:tcPr>
          <w:p>
            <w:r>
              <w:rPr>
                <w:b w:val="false"/>
                <w:bCs w:val="false"/>
                <w:color w:val="222222"/>
                <w:sz w:val="20"/>
                <w:szCs w:val="20"/>
              </w:rPr>
              <w:t xml:space="preserve">Month 1–2</w:t>
            </w:r>
          </w:p>
        </w:tc>
        <w:tc>
          <w:tcPr>
            <w:tcW w:type="dxa" w:w="3300"/>
            <w:shd w:fill="EAF5EC" w:val="clear"/>
            <w:tcMar>
              <w:top w:type="dxa" w:w="100"/>
              <w:left w:type="dxa" w:w="120"/>
              <w:bottom w:type="dxa" w:w="100"/>
              <w:right w:type="dxa" w:w="120"/>
            </w:tcMar>
          </w:tcPr>
          <w:p>
            <w:r>
              <w:rPr>
                <w:b w:val="false"/>
                <w:bCs w:val="false"/>
                <w:color w:val="222222"/>
                <w:sz w:val="20"/>
                <w:szCs w:val="20"/>
              </w:rPr>
              <w:t xml:space="preserve">Core schema, auth, farmer/land onboarding</w:t>
            </w:r>
          </w:p>
        </w:tc>
        <w:tc>
          <w:tcPr>
            <w:tcW w:type="dxa" w:w="3300"/>
            <w:shd w:fill="EAF5EC" w:val="clear"/>
            <w:tcMar>
              <w:top w:type="dxa" w:w="100"/>
              <w:left w:type="dxa" w:w="120"/>
              <w:bottom w:type="dxa" w:w="100"/>
              <w:right w:type="dxa" w:w="120"/>
            </w:tcMar>
          </w:tcPr>
          <w:p>
            <w:r>
              <w:rPr>
                <w:b w:val="false"/>
                <w:bCs w:val="false"/>
                <w:color w:val="222222"/>
                <w:sz w:val="20"/>
                <w:szCs w:val="20"/>
              </w:rPr>
              <w:t xml:space="preserve">Formal FRPS/FCAE algorithm definition + pseudocode</w:t>
            </w:r>
          </w:p>
        </w:tc>
      </w:tr>
      <w:tr>
        <w:tc>
          <w:tcPr>
            <w:tcW w:type="dxa" w:w="1400"/>
            <w:tcMar>
              <w:top w:type="dxa" w:w="100"/>
              <w:left w:type="dxa" w:w="120"/>
              <w:bottom w:type="dxa" w:w="100"/>
              <w:right w:type="dxa" w:w="120"/>
            </w:tcMar>
          </w:tcPr>
          <w:p>
            <w:r>
              <w:rPr>
                <w:b w:val="false"/>
                <w:bCs w:val="false"/>
                <w:color w:val="222222"/>
                <w:sz w:val="20"/>
                <w:szCs w:val="20"/>
              </w:rPr>
              <w:t xml:space="preserve">Phase 2</w:t>
            </w:r>
          </w:p>
        </w:tc>
        <w:tc>
          <w:tcPr>
            <w:tcW w:type="dxa" w:w="1500"/>
            <w:tcMar>
              <w:top w:type="dxa" w:w="100"/>
              <w:left w:type="dxa" w:w="120"/>
              <w:bottom w:type="dxa" w:w="100"/>
              <w:right w:type="dxa" w:w="120"/>
            </w:tcMar>
          </w:tcPr>
          <w:p>
            <w:r>
              <w:rPr>
                <w:b w:val="false"/>
                <w:bCs w:val="false"/>
                <w:color w:val="222222"/>
                <w:sz w:val="20"/>
                <w:szCs w:val="20"/>
              </w:rPr>
              <w:t xml:space="preserve">Month 2–4</w:t>
            </w:r>
          </w:p>
        </w:tc>
        <w:tc>
          <w:tcPr>
            <w:tcW w:type="dxa" w:w="3300"/>
            <w:tcMar>
              <w:top w:type="dxa" w:w="100"/>
              <w:left w:type="dxa" w:w="120"/>
              <w:bottom w:type="dxa" w:w="100"/>
              <w:right w:type="dxa" w:w="120"/>
            </w:tcMar>
          </w:tcPr>
          <w:p>
            <w:r>
              <w:rPr>
                <w:b w:val="false"/>
                <w:bCs w:val="false"/>
                <w:color w:val="222222"/>
                <w:sz w:val="20"/>
                <w:szCs w:val="20"/>
              </w:rPr>
              <w:t xml:space="preserve">Carbon credit issuance flow, MRV stub, FRPS scoring live</w:t>
            </w:r>
          </w:p>
        </w:tc>
        <w:tc>
          <w:tcPr>
            <w:tcW w:type="dxa" w:w="3300"/>
            <w:tcMar>
              <w:top w:type="dxa" w:w="100"/>
              <w:left w:type="dxa" w:w="120"/>
              <w:bottom w:type="dxa" w:w="100"/>
              <w:right w:type="dxa" w:w="120"/>
            </w:tcMar>
          </w:tcPr>
          <w:p>
            <w:r>
              <w:rPr>
                <w:b w:val="false"/>
                <w:bCs w:val="false"/>
                <w:color w:val="222222"/>
                <w:sz w:val="20"/>
                <w:szCs w:val="20"/>
              </w:rPr>
              <w:t xml:space="preserve">Build simulation harness; generate synthetic datasets</w:t>
            </w:r>
          </w:p>
        </w:tc>
      </w:tr>
      <w:tr>
        <w:tc>
          <w:tcPr>
            <w:tcW w:type="dxa" w:w="1400"/>
            <w:shd w:fill="EAF5EC" w:val="clear"/>
            <w:tcMar>
              <w:top w:type="dxa" w:w="100"/>
              <w:left w:type="dxa" w:w="120"/>
              <w:bottom w:type="dxa" w:w="100"/>
              <w:right w:type="dxa" w:w="120"/>
            </w:tcMar>
          </w:tcPr>
          <w:p>
            <w:r>
              <w:rPr>
                <w:b w:val="false"/>
                <w:bCs w:val="false"/>
                <w:color w:val="222222"/>
                <w:sz w:val="20"/>
                <w:szCs w:val="20"/>
              </w:rPr>
              <w:t xml:space="preserve">Phase 3</w:t>
            </w:r>
          </w:p>
        </w:tc>
        <w:tc>
          <w:tcPr>
            <w:tcW w:type="dxa" w:w="1500"/>
            <w:shd w:fill="EAF5EC" w:val="clear"/>
            <w:tcMar>
              <w:top w:type="dxa" w:w="100"/>
              <w:left w:type="dxa" w:w="120"/>
              <w:bottom w:type="dxa" w:w="100"/>
              <w:right w:type="dxa" w:w="120"/>
            </w:tcMar>
          </w:tcPr>
          <w:p>
            <w:r>
              <w:rPr>
                <w:b w:val="false"/>
                <w:bCs w:val="false"/>
                <w:color w:val="222222"/>
                <w:sz w:val="20"/>
                <w:szCs w:val="20"/>
              </w:rPr>
              <w:t xml:space="preserve">Month 4–6</w:t>
            </w:r>
          </w:p>
        </w:tc>
        <w:tc>
          <w:tcPr>
            <w:tcW w:type="dxa" w:w="3300"/>
            <w:shd w:fill="EAF5EC" w:val="clear"/>
            <w:tcMar>
              <w:top w:type="dxa" w:w="100"/>
              <w:left w:type="dxa" w:w="120"/>
              <w:bottom w:type="dxa" w:w="100"/>
              <w:right w:type="dxa" w:w="120"/>
            </w:tcMar>
          </w:tcPr>
          <w:p>
            <w:r>
              <w:rPr>
                <w:b w:val="false"/>
                <w:bCs w:val="false"/>
                <w:color w:val="222222"/>
                <w:sz w:val="20"/>
                <w:szCs w:val="20"/>
              </w:rPr>
              <w:t xml:space="preserve">FCAE allocation engine, corporate ESG purchase flow</w:t>
            </w:r>
          </w:p>
        </w:tc>
        <w:tc>
          <w:tcPr>
            <w:tcW w:type="dxa" w:w="3300"/>
            <w:shd w:fill="EAF5EC" w:val="clear"/>
            <w:tcMar>
              <w:top w:type="dxa" w:w="100"/>
              <w:left w:type="dxa" w:w="120"/>
              <w:bottom w:type="dxa" w:w="100"/>
              <w:right w:type="dxa" w:w="120"/>
            </w:tcMar>
          </w:tcPr>
          <w:p>
            <w:r>
              <w:rPr>
                <w:b w:val="false"/>
                <w:bCs w:val="false"/>
                <w:color w:val="222222"/>
                <w:sz w:val="20"/>
                <w:szCs w:val="20"/>
              </w:rPr>
              <w:t xml:space="preserve">Run baseline comparisons; collect fairness metrics</w:t>
            </w:r>
          </w:p>
        </w:tc>
      </w:tr>
      <w:tr>
        <w:tc>
          <w:tcPr>
            <w:tcW w:type="dxa" w:w="1400"/>
            <w:tcMar>
              <w:top w:type="dxa" w:w="100"/>
              <w:left w:type="dxa" w:w="120"/>
              <w:bottom w:type="dxa" w:w="100"/>
              <w:right w:type="dxa" w:w="120"/>
            </w:tcMar>
          </w:tcPr>
          <w:p>
            <w:r>
              <w:rPr>
                <w:b w:val="false"/>
                <w:bCs w:val="false"/>
                <w:color w:val="222222"/>
                <w:sz w:val="20"/>
                <w:szCs w:val="20"/>
              </w:rPr>
              <w:t xml:space="preserve">Phase 4</w:t>
            </w:r>
          </w:p>
        </w:tc>
        <w:tc>
          <w:tcPr>
            <w:tcW w:type="dxa" w:w="1500"/>
            <w:tcMar>
              <w:top w:type="dxa" w:w="100"/>
              <w:left w:type="dxa" w:w="120"/>
              <w:bottom w:type="dxa" w:w="100"/>
              <w:right w:type="dxa" w:w="120"/>
            </w:tcMar>
          </w:tcPr>
          <w:p>
            <w:r>
              <w:rPr>
                <w:b w:val="false"/>
                <w:bCs w:val="false"/>
                <w:color w:val="222222"/>
                <w:sz w:val="20"/>
                <w:szCs w:val="20"/>
              </w:rPr>
              <w:t xml:space="preserve">Month 6–7</w:t>
            </w:r>
          </w:p>
        </w:tc>
        <w:tc>
          <w:tcPr>
            <w:tcW w:type="dxa" w:w="3300"/>
            <w:tcMar>
              <w:top w:type="dxa" w:w="100"/>
              <w:left w:type="dxa" w:w="120"/>
              <w:bottom w:type="dxa" w:w="100"/>
              <w:right w:type="dxa" w:w="120"/>
            </w:tcMar>
          </w:tcPr>
          <w:p>
            <w:r>
              <w:rPr>
                <w:b w:val="false"/>
                <w:bCs w:val="false"/>
                <w:color w:val="222222"/>
                <w:sz w:val="20"/>
                <w:szCs w:val="20"/>
              </w:rPr>
              <w:t xml:space="preserve">End-to-end MVP demo-ready, real test-user transactions</w:t>
            </w:r>
          </w:p>
        </w:tc>
        <w:tc>
          <w:tcPr>
            <w:tcW w:type="dxa" w:w="3300"/>
            <w:tcMar>
              <w:top w:type="dxa" w:w="100"/>
              <w:left w:type="dxa" w:w="120"/>
              <w:bottom w:type="dxa" w:w="100"/>
              <w:right w:type="dxa" w:w="120"/>
            </w:tcMar>
          </w:tcPr>
          <w:p>
            <w:r>
              <w:rPr>
                <w:b w:val="false"/>
                <w:bCs w:val="false"/>
                <w:color w:val="222222"/>
                <w:sz w:val="20"/>
                <w:szCs w:val="20"/>
              </w:rPr>
              <w:t xml:space="preserve">Re-run evaluation on real transaction logs</w:t>
            </w:r>
          </w:p>
        </w:tc>
      </w:tr>
      <w:tr>
        <w:tc>
          <w:tcPr>
            <w:tcW w:type="dxa" w:w="1400"/>
            <w:shd w:fill="EAF5EC" w:val="clear"/>
            <w:tcMar>
              <w:top w:type="dxa" w:w="100"/>
              <w:left w:type="dxa" w:w="120"/>
              <w:bottom w:type="dxa" w:w="100"/>
              <w:right w:type="dxa" w:w="120"/>
            </w:tcMar>
          </w:tcPr>
          <w:p>
            <w:r>
              <w:rPr>
                <w:b w:val="false"/>
                <w:bCs w:val="false"/>
                <w:color w:val="222222"/>
                <w:sz w:val="20"/>
                <w:szCs w:val="20"/>
              </w:rPr>
              <w:t xml:space="preserve">Phase 5</w:t>
            </w:r>
          </w:p>
        </w:tc>
        <w:tc>
          <w:tcPr>
            <w:tcW w:type="dxa" w:w="1500"/>
            <w:shd w:fill="EAF5EC" w:val="clear"/>
            <w:tcMar>
              <w:top w:type="dxa" w:w="100"/>
              <w:left w:type="dxa" w:w="120"/>
              <w:bottom w:type="dxa" w:w="100"/>
              <w:right w:type="dxa" w:w="120"/>
            </w:tcMar>
          </w:tcPr>
          <w:p>
            <w:r>
              <w:rPr>
                <w:b w:val="false"/>
                <w:bCs w:val="false"/>
                <w:color w:val="222222"/>
                <w:sz w:val="20"/>
                <w:szCs w:val="20"/>
              </w:rPr>
              <w:t xml:space="preserve">Month 7–8</w:t>
            </w:r>
          </w:p>
        </w:tc>
        <w:tc>
          <w:tcPr>
            <w:tcW w:type="dxa" w:w="3300"/>
            <w:shd w:fill="EAF5EC" w:val="clear"/>
            <w:tcMar>
              <w:top w:type="dxa" w:w="100"/>
              <w:left w:type="dxa" w:w="120"/>
              <w:bottom w:type="dxa" w:w="100"/>
              <w:right w:type="dxa" w:w="120"/>
            </w:tcMar>
          </w:tcPr>
          <w:p>
            <w:r>
              <w:rPr>
                <w:b w:val="false"/>
                <w:bCs w:val="false"/>
                <w:color w:val="222222"/>
                <w:sz w:val="20"/>
                <w:szCs w:val="20"/>
              </w:rPr>
              <w:t xml:space="preserve">Polish, deployment, documentation</w:t>
            </w:r>
          </w:p>
        </w:tc>
        <w:tc>
          <w:tcPr>
            <w:tcW w:type="dxa" w:w="3300"/>
            <w:shd w:fill="EAF5EC" w:val="clear"/>
            <w:tcMar>
              <w:top w:type="dxa" w:w="100"/>
              <w:left w:type="dxa" w:w="120"/>
              <w:bottom w:type="dxa" w:w="100"/>
              <w:right w:type="dxa" w:w="120"/>
            </w:tcMar>
          </w:tcPr>
          <w:p>
            <w:r>
              <w:rPr>
                <w:b w:val="false"/>
                <w:bCs w:val="false"/>
                <w:color w:val="222222"/>
                <w:sz w:val="20"/>
                <w:szCs w:val="20"/>
              </w:rPr>
              <w:t xml:space="preserve">Draft paper (IMRaD); mentor review cycles</w:t>
            </w:r>
          </w:p>
        </w:tc>
      </w:tr>
      <w:tr>
        <w:tc>
          <w:tcPr>
            <w:tcW w:type="dxa" w:w="1400"/>
            <w:tcMar>
              <w:top w:type="dxa" w:w="100"/>
              <w:left w:type="dxa" w:w="120"/>
              <w:bottom w:type="dxa" w:w="100"/>
              <w:right w:type="dxa" w:w="120"/>
            </w:tcMar>
          </w:tcPr>
          <w:p>
            <w:r>
              <w:rPr>
                <w:b w:val="false"/>
                <w:bCs w:val="false"/>
                <w:color w:val="222222"/>
                <w:sz w:val="20"/>
                <w:szCs w:val="20"/>
              </w:rPr>
              <w:t xml:space="preserve">Phase 6</w:t>
            </w:r>
          </w:p>
        </w:tc>
        <w:tc>
          <w:tcPr>
            <w:tcW w:type="dxa" w:w="1500"/>
            <w:tcMar>
              <w:top w:type="dxa" w:w="100"/>
              <w:left w:type="dxa" w:w="120"/>
              <w:bottom w:type="dxa" w:w="100"/>
              <w:right w:type="dxa" w:w="120"/>
            </w:tcMar>
          </w:tcPr>
          <w:p>
            <w:r>
              <w:rPr>
                <w:b w:val="false"/>
                <w:bCs w:val="false"/>
                <w:color w:val="222222"/>
                <w:sz w:val="20"/>
                <w:szCs w:val="20"/>
              </w:rPr>
              <w:t xml:space="preserve">Month 8–9</w:t>
            </w:r>
          </w:p>
        </w:tc>
        <w:tc>
          <w:tcPr>
            <w:tcW w:type="dxa" w:w="3300"/>
            <w:tcMar>
              <w:top w:type="dxa" w:w="100"/>
              <w:left w:type="dxa" w:w="120"/>
              <w:bottom w:type="dxa" w:w="100"/>
              <w:right w:type="dxa" w:w="120"/>
            </w:tcMar>
          </w:tcPr>
          <w:p>
            <w:r>
              <w:rPr>
                <w:b w:val="false"/>
                <w:bCs w:val="false"/>
                <w:color w:val="222222"/>
                <w:sz w:val="20"/>
                <w:szCs w:val="20"/>
              </w:rPr>
              <w:t xml:space="preserve">Final project submission</w:t>
            </w:r>
          </w:p>
        </w:tc>
        <w:tc>
          <w:tcPr>
            <w:tcW w:type="dxa" w:w="3300"/>
            <w:tcMar>
              <w:top w:type="dxa" w:w="100"/>
              <w:left w:type="dxa" w:w="120"/>
              <w:bottom w:type="dxa" w:w="100"/>
              <w:right w:type="dxa" w:w="120"/>
            </w:tcMar>
          </w:tcPr>
          <w:p>
            <w:r>
              <w:rPr>
                <w:b w:val="false"/>
                <w:bCs w:val="false"/>
                <w:color w:val="222222"/>
                <w:sz w:val="20"/>
                <w:szCs w:val="20"/>
              </w:rPr>
              <w:t xml:space="preserve">Submit to target conference/journal</w:t>
            </w:r>
          </w:p>
        </w:tc>
      </w:tr>
    </w:tbl>
    <w:p>
      <w:pPr>
        <w:spacing w:before="200"/>
      </w:pPr>
    </w:p>
    <w:p>
      <w:pPr>
        <w:spacing w:after="160" w:line="300"/>
      </w:pPr>
      <w:r>
        <w:rPr>
          <w:color w:val="222222"/>
          <w:sz w:val="22"/>
          <w:szCs w:val="22"/>
        </w:rPr>
        <w:t xml:space="preserve">Note on scope: the eight-layer platform described in Section 3 defines the long-term product vision. For the final year timeline, the team will prioritise the core flow — farmer onboarding, MRV-to-credit-issuance, FRPS/FCAE, and the corporate ESG purchase flow — as the demo-ready MVP, since this is also the exact subsystem the research paper depends on. Layers such as contract farming, donation, and dual-market FX are treated as Phase-4-and-beyond extensions and are not required for either the product demo or the paper.</w:t>
      </w:r>
    </w:p>
    <w:p>
      <w:pPr>
        <w:pStyle w:val="Heading1"/>
        <w:spacing w:after="160" w:before="320"/>
      </w:pPr>
      <w:r>
        <w:rPr>
          <w:b/>
          <w:bCs/>
          <w:color w:val="144D28"/>
          <w:sz w:val="30"/>
          <w:szCs w:val="30"/>
        </w:rPr>
        <w:t xml:space="preserve">7. Expected Outcomes</w:t>
      </w:r>
    </w:p>
    <w:p>
      <w:pPr>
        <w:pStyle w:val="ListParagraph"/>
        <w:numPr>
          <w:ilvl w:val="0"/>
          <w:numId w:val="2"/>
        </w:numPr>
        <w:spacing w:after="90"/>
      </w:pPr>
      <w:r>
        <w:rPr>
          <w:color w:val="222222"/>
          <w:sz w:val="22"/>
          <w:szCs w:val="22"/>
        </w:rPr>
        <w:t xml:space="preserve">A working, demo-ready GreenChain MVP covering the core farmer-to-corporate carbon credit flow, INR-native settlement, and blockchain proof-layer minting.</w:t>
      </w:r>
    </w:p>
    <w:p>
      <w:pPr>
        <w:pStyle w:val="ListParagraph"/>
        <w:numPr>
          <w:ilvl w:val="0"/>
          <w:numId w:val="2"/>
        </w:numPr>
        <w:spacing w:after="90"/>
      </w:pPr>
      <w:r>
        <w:rPr>
          <w:color w:val="222222"/>
          <w:sz w:val="22"/>
          <w:szCs w:val="22"/>
        </w:rPr>
        <w:t xml:space="preserve">A formally defined and empirically evaluated FRPS/FCAE fair allocation algorithm, benchmarked against standard baselines.</w:t>
      </w:r>
    </w:p>
    <w:p>
      <w:pPr>
        <w:pStyle w:val="ListParagraph"/>
        <w:numPr>
          <w:ilvl w:val="0"/>
          <w:numId w:val="2"/>
        </w:numPr>
        <w:spacing w:after="90"/>
      </w:pPr>
      <w:r>
        <w:rPr>
          <w:color w:val="222222"/>
          <w:sz w:val="22"/>
          <w:szCs w:val="22"/>
        </w:rPr>
        <w:t xml:space="preserve">A submittable research paper (IMRaD structure) targeting a conference or journal in agri-tech, fintech, or applied algorithms, subject to mentor's venue preference.</w:t>
      </w:r>
    </w:p>
    <w:p>
      <w:pPr>
        <w:pStyle w:val="ListParagraph"/>
        <w:numPr>
          <w:ilvl w:val="0"/>
          <w:numId w:val="2"/>
        </w:numPr>
        <w:spacing w:after="90"/>
      </w:pPr>
      <w:r>
        <w:rPr>
          <w:color w:val="222222"/>
          <w:sz w:val="22"/>
          <w:szCs w:val="22"/>
        </w:rPr>
        <w:t xml:space="preserve">A final year project deliverable that is both a functioning product and a citable research output.</w:t>
      </w:r>
    </w:p>
    <w:p>
      <w:pPr>
        <w:pStyle w:val="Heading1"/>
        <w:spacing w:after="160" w:before="320"/>
      </w:pPr>
      <w:r>
        <w:rPr>
          <w:b/>
          <w:bCs/>
          <w:color w:val="144D28"/>
          <w:sz w:val="30"/>
          <w:szCs w:val="30"/>
        </w:rPr>
        <w:t xml:space="preserve">8. Open Items for Mentor Review</w:t>
      </w:r>
    </w:p>
    <w:p>
      <w:pPr>
        <w:pStyle w:val="ListParagraph"/>
        <w:numPr>
          <w:ilvl w:val="0"/>
          <w:numId w:val="2"/>
        </w:numPr>
        <w:spacing w:after="90"/>
      </w:pPr>
      <w:r>
        <w:rPr>
          <w:color w:val="222222"/>
          <w:sz w:val="22"/>
          <w:szCs w:val="22"/>
        </w:rPr>
        <w:t xml:space="preserve">Confirm the FRPS/FCAE fairness mechanism as the primary research claim, or redirect to an alternative angle (e.g. multi-source NDVI MRV accuracy, or the blockchain-as-proof-only architecture).</w:t>
      </w:r>
    </w:p>
    <w:p>
      <w:pPr>
        <w:pStyle w:val="ListParagraph"/>
        <w:numPr>
          <w:ilvl w:val="0"/>
          <w:numId w:val="2"/>
        </w:numPr>
        <w:spacing w:after="90"/>
      </w:pPr>
      <w:r>
        <w:rPr>
          <w:color w:val="222222"/>
          <w:sz w:val="22"/>
          <w:szCs w:val="22"/>
        </w:rPr>
        <w:t xml:space="preserve">Preferred target venue: conference (faster turnaround, fits final-year timeline) vs. journal (longer cycle, higher prestige).</w:t>
      </w:r>
    </w:p>
    <w:p>
      <w:pPr>
        <w:pStyle w:val="ListParagraph"/>
        <w:numPr>
          <w:ilvl w:val="0"/>
          <w:numId w:val="2"/>
        </w:numPr>
        <w:spacing w:after="90"/>
      </w:pPr>
      <w:r>
        <w:rPr>
          <w:color w:val="222222"/>
          <w:sz w:val="22"/>
          <w:szCs w:val="22"/>
        </w:rPr>
        <w:t xml:space="preserve">Team allocation across product-build vs. research-evaluation workstreams.</w:t>
      </w:r>
    </w:p>
    <w:p>
      <w:pPr>
        <w:pStyle w:val="ListParagraph"/>
        <w:numPr>
          <w:ilvl w:val="0"/>
          <w:numId w:val="2"/>
        </w:numPr>
        <w:spacing w:after="90"/>
      </w:pPr>
      <w:r>
        <w:rPr>
          <w:color w:val="222222"/>
          <w:sz w:val="22"/>
          <w:szCs w:val="22"/>
        </w:rPr>
        <w:t xml:space="preserve">Sign-off on the reduced MVP scope in Section 6 for the final-year submission, with the full 8-layer vision retained as future work.</w:t>
      </w:r>
    </w:p>
    <w:sectPr>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2026-08-23T16:29:52.446Z</dcterms:created>
  <dcterms:modified xsi:type="dcterms:W3CDTF">2026-08-23T16:29:52.446Z</dcterms:modified>
</cp:coreProperties>
</file>

<file path=docProps/custom.xml><?xml version="1.0" encoding="utf-8"?>
<Properties xmlns="http://schemas.openxmlformats.org/officeDocument/2006/custom-properties" xmlns:vt="http://schemas.openxmlformats.org/officeDocument/2006/docPropsVTypes"/>
</file>