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13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Configure static IP address in operating system along with appropriate subnet mask for given problem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 Control panel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2819400"/>
            <wp:effectExtent b="25400" l="25400" r="25400" t="254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 Network and Internet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</w:rPr>
        <w:drawing>
          <wp:inline distB="114300" distT="114300" distL="114300" distR="114300">
            <wp:extent cx="5731200" cy="1816100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Open Network and Sharing Center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943100"/>
            <wp:effectExtent b="25400" l="25400" r="25400" t="254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Change Adapter settings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343400" cy="2743200"/>
            <wp:effectExtent b="25400" l="25400" r="25400" t="254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43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Right click on Ethernet and open properties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97063" cy="4138420"/>
            <wp:effectExtent b="25400" l="25400" r="25400" t="254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063" cy="413842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Click on Internet Protocol Version 4 and open properties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30425" cy="3868900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0425" cy="386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 Command Prompt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876800"/>
            <wp:effectExtent b="25400" l="25400" r="25400" t="254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Ping another device in same network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95875" cy="2419350"/>
            <wp:effectExtent b="25400" l="25400" r="25400" t="254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4193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hCYM2WQAtJARiGAoPZZnfOsi9A==">CgMxLjA4AHIhMXpzY0hJRmRZOEZaUWVPckpDLTh4V0F0UXFNRkFUUEZr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