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E293B"/>
          <w:sz w:val="34"/>
        </w:rPr>
        <w:t>Laboratorio 3 — MQTT hacia Azure IoT Central</w:t>
      </w:r>
    </w:p>
    <w:p>
      <w:pPr>
        <w:spacing w:after="20"/>
      </w:pPr>
      <w:r>
        <w:rPr>
          <w:i/>
          <w:color w:val="1D4ED8"/>
          <w:sz w:val="23"/>
        </w:rPr>
        <w:t>Protocolo visible, mediciones y comparación con el SDK</w:t>
      </w:r>
    </w:p>
    <w:p>
      <w:pPr>
        <w:spacing w:after="80"/>
      </w:pPr>
      <w:r>
        <w:rPr>
          <w:color w:val="64748B"/>
          <w:sz w:val="17"/>
        </w:rPr>
        <w:t>IoT + Cloud + Sistemas Distribuidos · UNAB · Escenario UNAB-Ambiental · App IoT Central: medidordeclima2026</w:t>
      </w:r>
    </w:p>
    <w:p>
      <w:pPr>
        <w:spacing w:before="100" w:after="40"/>
      </w:pPr>
      <w:r>
        <w:rPr>
          <w:b/>
          <w:color w:val="1D4ED8"/>
          <w:sz w:val="23"/>
        </w:rPr>
        <w:t>1. El protocolo real: MQTT/TLS → DPS → IoT Hub (Etapa 1)</w:t>
      </w:r>
    </w:p>
    <w:p>
      <w:pPr>
        <w:spacing w:after="40" w:before="0"/>
      </w:pPr>
      <w:r>
        <w:rPr>
          <w:color w:val="1E293B"/>
          <w:sz w:val="18"/>
        </w:rPr>
        <w:t>Los dispositivos del Lab 2 usan MQTT sobre TLS (puerto 8883). El primer salto es el Device Provisioning Service (DPS), que registra al dispositivo y devuelve el IoT Hub asignado; luego la telemetría se publica al topic devices/{deviceId}/messages/events/ autenticando con un token SAS (HMAC-SHA256 de la clave). Se confirmó en el Data explorer que el JSON coincide con la plantilla Hobo MX-100 v3 (temperature, humedad, illuminance).</w:t>
      </w:r>
    </w:p>
    <w:p>
      <w:pPr>
        <w:spacing w:before="20" w:after="0"/>
        <w:jc w:val="center"/>
      </w:pPr>
      <w:r>
        <w:drawing>
          <wp:inline xmlns:a="http://schemas.openxmlformats.org/drawingml/2006/main" xmlns:pic="http://schemas.openxmlformats.org/drawingml/2006/picture">
            <wp:extent cx="5616000" cy="2950780"/>
            <wp:docPr id="1" name="Picture 1"/>
            <wp:cNvGraphicFramePr>
              <a:graphicFrameLocks noChangeAspect="1"/>
            </wp:cNvGraphicFramePr>
            <a:graphic>
              <a:graphicData uri="http://schemas.openxmlformats.org/drawingml/2006/picture">
                <pic:pic>
                  <pic:nvPicPr>
                    <pic:cNvPr id="0" name="00-diagrama-flujo.png"/>
                    <pic:cNvPicPr/>
                  </pic:nvPicPr>
                  <pic:blipFill>
                    <a:blip r:embed="rId9"/>
                    <a:stretch>
                      <a:fillRect/>
                    </a:stretch>
                  </pic:blipFill>
                  <pic:spPr>
                    <a:xfrm>
                      <a:off x="0" y="0"/>
                      <a:ext cx="5616000" cy="2950780"/>
                    </a:xfrm>
                    <a:prstGeom prst="rect"/>
                  </pic:spPr>
                </pic:pic>
              </a:graphicData>
            </a:graphic>
          </wp:inline>
        </w:drawing>
      </w:r>
    </w:p>
    <w:p>
      <w:pPr>
        <w:spacing w:before="100" w:after="40"/>
      </w:pPr>
      <w:r>
        <w:rPr>
          <w:b/>
          <w:color w:val="1D4ED8"/>
          <w:sz w:val="23"/>
        </w:rPr>
        <w:t>2. Camino B — cliente MQTT explícito (paho-mqtt) en la VM  ·  publish 'a mano' visible en Central</w:t>
      </w:r>
    </w:p>
    <w:p>
      <w:pPr>
        <w:spacing w:after="40" w:before="0"/>
      </w:pPr>
      <w:r>
        <w:rPr>
          <w:color w:val="1E293B"/>
          <w:sz w:val="18"/>
        </w:rPr>
        <w:t>En la misma VM de Azure corre un segundo dispositivo (mqtt-explicito-lab3) que NO usa azure-iot-device: genera el SAS a mano, hace el registro DPS por MQTT, se conecta al IoT Hub por MQTT/TLS y publica las 3 variables. El publish aparece en la misma aplicación del Lab 1, con las 3 variables mapeadas a la plantilla.</w:t>
      </w:r>
    </w:p>
    <w:tbl>
      <w:tblPr>
        <w:tblW w:type="auto" w:w="0"/>
        <w:jc w:val="center"/>
        <w:tblLook w:firstColumn="1" w:firstRow="1" w:lastColumn="0" w:lastRow="0" w:noHBand="0" w:noVBand="1" w:val="04A0"/>
      </w:tblPr>
      <w:tblGrid>
        <w:gridCol w:w="5159"/>
        <w:gridCol w:w="5159"/>
      </w:tblGrid>
      <w:tr>
        <w:tc>
          <w:tcPr>
            <w:tcW w:type="dxa" w:w="5159"/>
          </w:tcPr>
          <w:p>
            <w:pPr>
              <w:jc w:val="center"/>
            </w:pPr>
            <w:r>
              <w:drawing>
                <wp:inline xmlns:a="http://schemas.openxmlformats.org/drawingml/2006/main" xmlns:pic="http://schemas.openxmlformats.org/drawingml/2006/picture">
                  <wp:extent cx="3131999" cy="2477360"/>
                  <wp:docPr id="2" name="Picture 2"/>
                  <wp:cNvGraphicFramePr>
                    <a:graphicFrameLocks noChangeAspect="1"/>
                  </wp:cNvGraphicFramePr>
                  <a:graphic>
                    <a:graphicData uri="http://schemas.openxmlformats.org/drawingml/2006/picture">
                      <pic:pic>
                        <pic:nvPicPr>
                          <pic:cNvPr id="0" name="01-mqtt-explicito-connect-publish.png"/>
                          <pic:cNvPicPr/>
                        </pic:nvPicPr>
                        <pic:blipFill>
                          <a:blip r:embed="rId10"/>
                          <a:stretch>
                            <a:fillRect/>
                          </a:stretch>
                        </pic:blipFill>
                        <pic:spPr>
                          <a:xfrm>
                            <a:off x="0" y="0"/>
                            <a:ext cx="3131999" cy="2477360"/>
                          </a:xfrm>
                          <a:prstGeom prst="rect"/>
                        </pic:spPr>
                      </pic:pic>
                    </a:graphicData>
                  </a:graphic>
                </wp:inline>
              </w:drawing>
            </w:r>
          </w:p>
        </w:tc>
        <w:tc>
          <w:tcPr>
            <w:tcW w:type="dxa" w:w="5159"/>
          </w:tcPr>
          <w:p>
            <w:pPr>
              <w:jc w:val="center"/>
            </w:pPr>
            <w:r>
              <w:drawing>
                <wp:inline xmlns:a="http://schemas.openxmlformats.org/drawingml/2006/main" xmlns:pic="http://schemas.openxmlformats.org/drawingml/2006/picture">
                  <wp:extent cx="2700000" cy="2572038"/>
                  <wp:docPr id="3" name="Picture 3"/>
                  <wp:cNvGraphicFramePr>
                    <a:graphicFrameLocks noChangeAspect="1"/>
                  </wp:cNvGraphicFramePr>
                  <a:graphic>
                    <a:graphicData uri="http://schemas.openxmlformats.org/drawingml/2006/picture">
                      <pic:pic>
                        <pic:nvPicPr>
                          <pic:cNvPr id="0" name="13-device-json-3variables.png"/>
                          <pic:cNvPicPr/>
                        </pic:nvPicPr>
                        <pic:blipFill>
                          <a:blip r:embed="rId11"/>
                          <a:stretch>
                            <a:fillRect/>
                          </a:stretch>
                        </pic:blipFill>
                        <pic:spPr>
                          <a:xfrm>
                            <a:off x="0" y="0"/>
                            <a:ext cx="2700000" cy="2572038"/>
                          </a:xfrm>
                          <a:prstGeom prst="rect"/>
                        </pic:spPr>
                      </pic:pic>
                    </a:graphicData>
                  </a:graphic>
                </wp:inline>
              </w:drawing>
            </w:r>
          </w:p>
        </w:tc>
      </w:tr>
    </w:tbl>
    <w:p>
      <w:pPr>
        <w:spacing w:before="20" w:after="60"/>
        <w:jc w:val="center"/>
      </w:pPr>
      <w:r>
        <w:rPr>
          <w:i/>
          <w:color w:val="64748B"/>
          <w:sz w:val="15"/>
        </w:rPr>
        <w:t>Fig. 1 — (izq.) log real en la VM: DPS por MQTT + SAS + CONNACK + publish QoS 1 con PUBACK.  (der.) el mismo publish visible en IoT Central: device Conectado y JSON con temperature/humedad/illuminance.</w:t>
      </w:r>
    </w:p>
    <w:p>
      <w:pPr>
        <w:spacing w:before="100" w:after="40"/>
      </w:pPr>
      <w:r>
        <w:rPr>
          <w:b/>
          <w:color w:val="1D4ED8"/>
          <w:sz w:val="23"/>
        </w:rPr>
        <w:t>3. Wokwi y SDK del Lab 2 siguen visibles en la misma app</w:t>
      </w:r>
    </w:p>
    <w:p>
      <w:pPr>
        <w:spacing w:after="40" w:before="0"/>
      </w:pPr>
      <w:r>
        <w:rPr>
          <w:color w:val="1E293B"/>
          <w:sz w:val="18"/>
        </w:rPr>
        <w:t>Los tres dispositivos de código reportan a la misma app sobre la plantilla Hobo MX-100 v3: el SDK (2c5qb72vl4u), el MQTT explícito (mqtt-explicito-lab3) y el ESP32 de Wokwi (ve8okslkz9), junto a 6 simulados.</w:t>
      </w:r>
    </w:p>
    <w:tbl>
      <w:tblPr>
        <w:tblW w:type="auto" w:w="0"/>
        <w:jc w:val="center"/>
        <w:tblLook w:firstColumn="1" w:firstRow="1" w:lastColumn="0" w:lastRow="0" w:noHBand="0" w:noVBand="1" w:val="04A0"/>
      </w:tblPr>
      <w:tblGrid>
        <w:gridCol w:w="5159"/>
        <w:gridCol w:w="5159"/>
      </w:tblGrid>
      <w:tr>
        <w:tc>
          <w:tcPr>
            <w:tcW w:type="dxa" w:w="5159"/>
          </w:tcPr>
          <w:p>
            <w:pPr>
              <w:jc w:val="center"/>
            </w:pPr>
            <w:r>
              <w:drawing>
                <wp:inline xmlns:a="http://schemas.openxmlformats.org/drawingml/2006/main" xmlns:pic="http://schemas.openxmlformats.org/drawingml/2006/picture">
                  <wp:extent cx="3096000" cy="2949270"/>
                  <wp:docPr id="4" name="Picture 4"/>
                  <wp:cNvGraphicFramePr>
                    <a:graphicFrameLocks noChangeAspect="1"/>
                  </wp:cNvGraphicFramePr>
                  <a:graphic>
                    <a:graphicData uri="http://schemas.openxmlformats.org/drawingml/2006/picture">
                      <pic:pic>
                        <pic:nvPicPr>
                          <pic:cNvPr id="0" name="12-flota-iotcentral.png"/>
                          <pic:cNvPicPr/>
                        </pic:nvPicPr>
                        <pic:blipFill>
                          <a:blip r:embed="rId12"/>
                          <a:stretch>
                            <a:fillRect/>
                          </a:stretch>
                        </pic:blipFill>
                        <pic:spPr>
                          <a:xfrm>
                            <a:off x="0" y="0"/>
                            <a:ext cx="3096000" cy="2949270"/>
                          </a:xfrm>
                          <a:prstGeom prst="rect"/>
                        </pic:spPr>
                      </pic:pic>
                    </a:graphicData>
                  </a:graphic>
                </wp:inline>
              </w:drawing>
            </w:r>
          </w:p>
        </w:tc>
        <w:tc>
          <w:tcPr>
            <w:tcW w:type="dxa" w:w="5159"/>
          </w:tcPr>
          <w:p>
            <w:pPr>
              <w:jc w:val="center"/>
            </w:pPr>
            <w:r>
              <w:drawing>
                <wp:inline xmlns:a="http://schemas.openxmlformats.org/drawingml/2006/main" xmlns:pic="http://schemas.openxmlformats.org/drawingml/2006/picture">
                  <wp:extent cx="3096000" cy="2949270"/>
                  <wp:docPr id="5" name="Picture 5"/>
                  <wp:cNvGraphicFramePr>
                    <a:graphicFrameLocks noChangeAspect="1"/>
                  </wp:cNvGraphicFramePr>
                  <a:graphic>
                    <a:graphicData uri="http://schemas.openxmlformats.org/drawingml/2006/picture">
                      <pic:pic>
                        <pic:nvPicPr>
                          <pic:cNvPr id="0" name="14-sdk-lab2-connected.png"/>
                          <pic:cNvPicPr/>
                        </pic:nvPicPr>
                        <pic:blipFill>
                          <a:blip r:embed="rId13"/>
                          <a:stretch>
                            <a:fillRect/>
                          </a:stretch>
                        </pic:blipFill>
                        <pic:spPr>
                          <a:xfrm>
                            <a:off x="0" y="0"/>
                            <a:ext cx="3096000" cy="2949270"/>
                          </a:xfrm>
                          <a:prstGeom prst="rect"/>
                        </pic:spPr>
                      </pic:pic>
                    </a:graphicData>
                  </a:graphic>
                </wp:inline>
              </w:drawing>
            </w:r>
          </w:p>
        </w:tc>
      </w:tr>
    </w:tbl>
    <w:p>
      <w:pPr>
        <w:spacing w:before="20" w:after="60"/>
        <w:jc w:val="center"/>
      </w:pPr>
      <w:r>
        <w:rPr>
          <w:i/>
          <w:color w:val="64748B"/>
          <w:sz w:val="15"/>
        </w:rPr>
        <w:t>Fig. 2 — (izq.) la flota completa sobre la plantilla.  (der.) el dispositivo SDK del Lab 2 sigue Conectado y enviando.</w:t>
      </w:r>
    </w:p>
    <w:p>
      <w:pPr>
        <w:spacing w:before="20" w:after="0"/>
        <w:jc w:val="center"/>
      </w:pPr>
      <w:r>
        <w:drawing>
          <wp:inline xmlns:a="http://schemas.openxmlformats.org/drawingml/2006/main" xmlns:pic="http://schemas.openxmlformats.org/drawingml/2006/picture">
            <wp:extent cx="4464000" cy="4252436"/>
            <wp:docPr id="6" name="Picture 6"/>
            <wp:cNvGraphicFramePr>
              <a:graphicFrameLocks noChangeAspect="1"/>
            </wp:cNvGraphicFramePr>
            <a:graphic>
              <a:graphicData uri="http://schemas.openxmlformats.org/drawingml/2006/picture">
                <pic:pic>
                  <pic:nvPicPr>
                    <pic:cNvPr id="0" name="15-data-explorer-temperatura.png"/>
                    <pic:cNvPicPr/>
                  </pic:nvPicPr>
                  <pic:blipFill>
                    <a:blip r:embed="rId14"/>
                    <a:stretch>
                      <a:fillRect/>
                    </a:stretch>
                  </pic:blipFill>
                  <pic:spPr>
                    <a:xfrm>
                      <a:off x="0" y="0"/>
                      <a:ext cx="4464000" cy="4252436"/>
                    </a:xfrm>
                    <a:prstGeom prst="rect"/>
                  </pic:spPr>
                </pic:pic>
              </a:graphicData>
            </a:graphic>
          </wp:inline>
        </w:drawing>
      </w:r>
    </w:p>
    <w:p>
      <w:pPr>
        <w:spacing w:before="20" w:after="60"/>
        <w:jc w:val="center"/>
      </w:pPr>
      <w:r>
        <w:rPr>
          <w:i/>
          <w:color w:val="64748B"/>
          <w:sz w:val="15"/>
        </w:rPr>
        <w:t>Fig. 3 — Data explorer: tendencia de temperatura de la flota (últimas 24 h).</w:t>
      </w:r>
    </w:p>
    <w:p>
      <w:pPr>
        <w:spacing w:before="100" w:after="40"/>
      </w:pPr>
      <w:r>
        <w:rPr>
          <w:b/>
          <w:color w:val="1D4ED8"/>
          <w:sz w:val="23"/>
        </w:rPr>
        <w:t>4. Mediciones sobre IoT Central (Etapa 3)</w:t>
      </w:r>
    </w:p>
    <w:tbl>
      <w:tblPr>
        <w:tblStyle w:val="TableGrid"/>
        <w:tblW w:type="auto" w:w="0"/>
        <w:jc w:val="center"/>
        <w:tblLook w:firstColumn="1" w:firstRow="1" w:lastColumn="0" w:lastRow="0" w:noHBand="0" w:noVBand="1" w:val="04A0"/>
      </w:tblPr>
      <w:tblGrid>
        <w:gridCol w:w="2579"/>
        <w:gridCol w:w="2579"/>
        <w:gridCol w:w="2579"/>
        <w:gridCol w:w="2579"/>
      </w:tblGrid>
      <w:tr>
        <w:tc>
          <w:tcPr>
            <w:tcW w:type="dxa" w:w="2211"/>
            <w:shd w:val="clear" w:fill="1D4ED8"/>
          </w:tcPr>
          <w:p>
            <w:pPr>
              <w:spacing w:after="0" w:before="0"/>
              <w:jc w:val="center"/>
            </w:pPr>
            <w:r/>
            <w:r>
              <w:rPr>
                <w:b/>
                <w:color w:val="FFFFFF"/>
                <w:sz w:val="17"/>
              </w:rPr>
              <w:t>Métrica</w:t>
            </w:r>
          </w:p>
        </w:tc>
        <w:tc>
          <w:tcPr>
            <w:tcW w:type="dxa" w:w="2381"/>
            <w:shd w:val="clear" w:fill="1D4ED8"/>
          </w:tcPr>
          <w:p>
            <w:pPr>
              <w:spacing w:after="0" w:before="0"/>
              <w:jc w:val="center"/>
            </w:pPr>
            <w:r/>
            <w:r>
              <w:rPr>
                <w:b/>
                <w:color w:val="FFFFFF"/>
                <w:sz w:val="17"/>
              </w:rPr>
              <w:t>SDK (azure-iot-device)</w:t>
            </w:r>
          </w:p>
        </w:tc>
        <w:tc>
          <w:tcPr>
            <w:tcW w:type="dxa" w:w="3005"/>
            <w:shd w:val="clear" w:fill="1D4ED8"/>
          </w:tcPr>
          <w:p>
            <w:pPr>
              <w:spacing w:after="0" w:before="0"/>
              <w:jc w:val="center"/>
            </w:pPr>
            <w:r/>
            <w:r>
              <w:rPr>
                <w:b/>
                <w:color w:val="FFFFFF"/>
                <w:sz w:val="17"/>
              </w:rPr>
              <w:t>MQTT explícito (paho)</w:t>
            </w:r>
          </w:p>
        </w:tc>
        <w:tc>
          <w:tcPr>
            <w:tcW w:type="dxa" w:w="2494"/>
            <w:shd w:val="clear" w:fill="1D4ED8"/>
          </w:tcPr>
          <w:p>
            <w:pPr>
              <w:spacing w:after="0" w:before="0"/>
              <w:jc w:val="center"/>
            </w:pPr>
            <w:r/>
            <w:r>
              <w:rPr>
                <w:b/>
                <w:color w:val="FFFFFF"/>
                <w:sz w:val="17"/>
              </w:rPr>
              <w:t>ESP32 Wokwi (Arduino)</w:t>
            </w:r>
          </w:p>
        </w:tc>
      </w:tr>
      <w:tr>
        <w:tc>
          <w:tcPr>
            <w:tcW w:type="dxa" w:w="2211"/>
          </w:tcPr>
          <w:p>
            <w:pPr>
              <w:spacing w:after="0" w:before="0"/>
            </w:pPr>
            <w:r/>
            <w:r>
              <w:rPr>
                <w:b/>
                <w:sz w:val="16"/>
              </w:rPr>
              <w:t>Payload JSON</w:t>
            </w:r>
          </w:p>
        </w:tc>
        <w:tc>
          <w:tcPr>
            <w:tcW w:type="dxa" w:w="2381"/>
          </w:tcPr>
          <w:p>
            <w:pPr>
              <w:spacing w:after="0" w:before="0"/>
            </w:pPr>
            <w:r/>
            <w:r>
              <w:rPr>
                <w:b w:val="0"/>
                <w:sz w:val="16"/>
              </w:rPr>
              <w:t>58 B (con espacios)</w:t>
            </w:r>
          </w:p>
        </w:tc>
        <w:tc>
          <w:tcPr>
            <w:tcW w:type="dxa" w:w="3005"/>
          </w:tcPr>
          <w:p>
            <w:pPr>
              <w:spacing w:after="0" w:before="0"/>
            </w:pPr>
            <w:r/>
            <w:r>
              <w:rPr>
                <w:b w:val="0"/>
                <w:sz w:val="16"/>
              </w:rPr>
              <w:t>53 B (compacto)</w:t>
            </w:r>
          </w:p>
        </w:tc>
        <w:tc>
          <w:tcPr>
            <w:tcW w:type="dxa" w:w="2494"/>
          </w:tcPr>
          <w:p>
            <w:pPr>
              <w:spacing w:after="0" w:before="0"/>
            </w:pPr>
            <w:r/>
            <w:r>
              <w:rPr>
                <w:b w:val="0"/>
                <w:sz w:val="16"/>
              </w:rPr>
              <w:t>~55 B</w:t>
            </w:r>
          </w:p>
        </w:tc>
      </w:tr>
      <w:tr>
        <w:tc>
          <w:tcPr>
            <w:tcW w:type="dxa" w:w="2211"/>
            <w:shd w:val="clear" w:fill="EEF2FF"/>
          </w:tcPr>
          <w:p>
            <w:pPr>
              <w:spacing w:after="0" w:before="0"/>
            </w:pPr>
            <w:r/>
            <w:r>
              <w:rPr>
                <w:b/>
                <w:sz w:val="16"/>
              </w:rPr>
              <w:t>Intervalo config. → observado</w:t>
            </w:r>
          </w:p>
        </w:tc>
        <w:tc>
          <w:tcPr>
            <w:tcW w:type="dxa" w:w="2381"/>
            <w:shd w:val="clear" w:fill="EEF2FF"/>
          </w:tcPr>
          <w:p>
            <w:pPr>
              <w:spacing w:after="0" w:before="0"/>
            </w:pPr>
            <w:r/>
            <w:r>
              <w:rPr>
                <w:b w:val="0"/>
                <w:sz w:val="16"/>
              </w:rPr>
              <w:t>5 s → ~5 s</w:t>
            </w:r>
          </w:p>
        </w:tc>
        <w:tc>
          <w:tcPr>
            <w:tcW w:type="dxa" w:w="3005"/>
            <w:shd w:val="clear" w:fill="EEF2FF"/>
          </w:tcPr>
          <w:p>
            <w:pPr>
              <w:spacing w:after="0" w:before="0"/>
            </w:pPr>
            <w:r/>
            <w:r>
              <w:rPr>
                <w:b w:val="0"/>
                <w:sz w:val="16"/>
              </w:rPr>
              <w:t>5 s → ~5 s</w:t>
            </w:r>
          </w:p>
        </w:tc>
        <w:tc>
          <w:tcPr>
            <w:tcW w:type="dxa" w:w="2494"/>
            <w:shd w:val="clear" w:fill="EEF2FF"/>
          </w:tcPr>
          <w:p>
            <w:pPr>
              <w:spacing w:after="0" w:before="0"/>
            </w:pPr>
            <w:r/>
            <w:r>
              <w:rPr>
                <w:b w:val="0"/>
                <w:sz w:val="16"/>
              </w:rPr>
              <w:t>~5 s</w:t>
            </w:r>
          </w:p>
        </w:tc>
      </w:tr>
      <w:tr>
        <w:tc>
          <w:tcPr>
            <w:tcW w:type="dxa" w:w="2211"/>
          </w:tcPr>
          <w:p>
            <w:pPr>
              <w:spacing w:after="0" w:before="0"/>
            </w:pPr>
            <w:r/>
            <w:r>
              <w:rPr>
                <w:b/>
                <w:sz w:val="16"/>
              </w:rPr>
              <w:t>Latencia publish→PUBACK</w:t>
            </w:r>
          </w:p>
        </w:tc>
        <w:tc>
          <w:tcPr>
            <w:tcW w:type="dxa" w:w="2381"/>
          </w:tcPr>
          <w:p>
            <w:pPr>
              <w:spacing w:after="0" w:before="0"/>
            </w:pPr>
            <w:r/>
            <w:r>
              <w:rPr>
                <w:b w:val="0"/>
                <w:sz w:val="16"/>
              </w:rPr>
              <w:t>oculta por el SDK</w:t>
            </w:r>
          </w:p>
        </w:tc>
        <w:tc>
          <w:tcPr>
            <w:tcW w:type="dxa" w:w="3005"/>
          </w:tcPr>
          <w:p>
            <w:pPr>
              <w:spacing w:after="0" w:before="0"/>
            </w:pPr>
            <w:r/>
            <w:r>
              <w:rPr>
                <w:b w:val="0"/>
                <w:sz w:val="16"/>
              </w:rPr>
              <w:t>129–159 ms (prom 140)</w:t>
            </w:r>
          </w:p>
        </w:tc>
        <w:tc>
          <w:tcPr>
            <w:tcW w:type="dxa" w:w="2494"/>
          </w:tcPr>
          <w:p>
            <w:pPr>
              <w:spacing w:after="0" w:before="0"/>
            </w:pPr>
            <w:r/>
            <w:r>
              <w:rPr>
                <w:b w:val="0"/>
                <w:sz w:val="16"/>
              </w:rPr>
              <w:t>N/A (QoS 0)</w:t>
            </w:r>
          </w:p>
        </w:tc>
      </w:tr>
      <w:tr>
        <w:tc>
          <w:tcPr>
            <w:tcW w:type="dxa" w:w="2211"/>
            <w:shd w:val="clear" w:fill="EEF2FF"/>
          </w:tcPr>
          <w:p>
            <w:pPr>
              <w:spacing w:after="0" w:before="0"/>
            </w:pPr>
            <w:r/>
            <w:r>
              <w:rPr>
                <w:b/>
                <w:sz w:val="16"/>
              </w:rPr>
              <w:t>Latencia publish→visible en Central</w:t>
            </w:r>
          </w:p>
        </w:tc>
        <w:tc>
          <w:tcPr>
            <w:tcW w:type="dxa" w:w="2381"/>
            <w:shd w:val="clear" w:fill="EEF2FF"/>
          </w:tcPr>
          <w:p>
            <w:pPr>
              <w:spacing w:after="0" w:before="0"/>
            </w:pPr>
            <w:r/>
            <w:r>
              <w:rPr>
                <w:b w:val="0"/>
                <w:sz w:val="16"/>
              </w:rPr>
              <w:t>pocos s (1–5 s)</w:t>
            </w:r>
          </w:p>
        </w:tc>
        <w:tc>
          <w:tcPr>
            <w:tcW w:type="dxa" w:w="3005"/>
            <w:shd w:val="clear" w:fill="EEF2FF"/>
          </w:tcPr>
          <w:p>
            <w:pPr>
              <w:spacing w:after="0" w:before="0"/>
            </w:pPr>
            <w:r/>
            <w:r>
              <w:rPr>
                <w:b w:val="0"/>
                <w:sz w:val="16"/>
              </w:rPr>
              <w:t>pocos s (1–5 s)</w:t>
            </w:r>
          </w:p>
        </w:tc>
        <w:tc>
          <w:tcPr>
            <w:tcW w:type="dxa" w:w="2494"/>
            <w:shd w:val="clear" w:fill="EEF2FF"/>
          </w:tcPr>
          <w:p>
            <w:pPr>
              <w:spacing w:after="0" w:before="0"/>
            </w:pPr>
            <w:r/>
            <w:r>
              <w:rPr>
                <w:b w:val="0"/>
                <w:sz w:val="16"/>
              </w:rPr>
              <w:t>pocos s</w:t>
            </w:r>
          </w:p>
        </w:tc>
      </w:tr>
      <w:tr>
        <w:tc>
          <w:tcPr>
            <w:tcW w:type="dxa" w:w="2211"/>
          </w:tcPr>
          <w:p>
            <w:pPr>
              <w:spacing w:after="0" w:before="0"/>
            </w:pPr>
            <w:r/>
            <w:r>
              <w:rPr>
                <w:b/>
                <w:sz w:val="16"/>
              </w:rPr>
              <w:t>Corte de red 10–20 s</w:t>
            </w:r>
          </w:p>
        </w:tc>
        <w:tc>
          <w:tcPr>
            <w:tcW w:type="dxa" w:w="2381"/>
          </w:tcPr>
          <w:p>
            <w:pPr>
              <w:spacing w:after="0" w:before="0"/>
            </w:pPr>
            <w:r/>
            <w:r>
              <w:rPr>
                <w:b w:val="0"/>
                <w:sz w:val="16"/>
              </w:rPr>
              <w:t>reconecta solo</w:t>
            </w:r>
          </w:p>
        </w:tc>
        <w:tc>
          <w:tcPr>
            <w:tcW w:type="dxa" w:w="3005"/>
          </w:tcPr>
          <w:p>
            <w:pPr>
              <w:spacing w:after="0" w:before="0"/>
            </w:pPr>
            <w:r/>
            <w:r>
              <w:rPr>
                <w:b w:val="0"/>
                <w:sz w:val="16"/>
              </w:rPr>
              <w:t>reconecta ~2 s, encola y hace flush (0 pérdida)</w:t>
            </w:r>
          </w:p>
        </w:tc>
        <w:tc>
          <w:tcPr>
            <w:tcW w:type="dxa" w:w="2494"/>
          </w:tcPr>
          <w:p>
            <w:pPr>
              <w:spacing w:after="0" w:before="0"/>
            </w:pPr>
            <w:r/>
            <w:r>
              <w:rPr>
                <w:b w:val="0"/>
                <w:sz w:val="16"/>
              </w:rPr>
              <w:t>reconecta en loop()</w:t>
            </w:r>
          </w:p>
        </w:tc>
      </w:tr>
      <w:tr>
        <w:tc>
          <w:tcPr>
            <w:tcW w:type="dxa" w:w="2211"/>
            <w:shd w:val="clear" w:fill="EEF2FF"/>
          </w:tcPr>
          <w:p>
            <w:pPr>
              <w:spacing w:after="0" w:before="0"/>
            </w:pPr>
            <w:r/>
            <w:r>
              <w:rPr>
                <w:b/>
                <w:sz w:val="16"/>
              </w:rPr>
              <w:t>QoS usado</w:t>
            </w:r>
          </w:p>
        </w:tc>
        <w:tc>
          <w:tcPr>
            <w:tcW w:type="dxa" w:w="2381"/>
            <w:shd w:val="clear" w:fill="EEF2FF"/>
          </w:tcPr>
          <w:p>
            <w:pPr>
              <w:spacing w:after="0" w:before="0"/>
            </w:pPr>
            <w:r/>
            <w:r>
              <w:rPr>
                <w:b w:val="0"/>
                <w:sz w:val="16"/>
              </w:rPr>
              <w:t>1 (fijo)</w:t>
            </w:r>
          </w:p>
        </w:tc>
        <w:tc>
          <w:tcPr>
            <w:tcW w:type="dxa" w:w="3005"/>
            <w:shd w:val="clear" w:fill="EEF2FF"/>
          </w:tcPr>
          <w:p>
            <w:pPr>
              <w:spacing w:after="0" w:before="0"/>
            </w:pPr>
            <w:r/>
            <w:r>
              <w:rPr>
                <w:b w:val="0"/>
                <w:sz w:val="16"/>
              </w:rPr>
              <w:t>0 y 1 (a elección)</w:t>
            </w:r>
          </w:p>
        </w:tc>
        <w:tc>
          <w:tcPr>
            <w:tcW w:type="dxa" w:w="2494"/>
            <w:shd w:val="clear" w:fill="EEF2FF"/>
          </w:tcPr>
          <w:p>
            <w:pPr>
              <w:spacing w:after="0" w:before="0"/>
            </w:pPr>
            <w:r/>
            <w:r>
              <w:rPr>
                <w:b w:val="0"/>
                <w:sz w:val="16"/>
              </w:rPr>
              <w:t>0 (límite PubSubClient)</w:t>
            </w:r>
          </w:p>
        </w:tc>
      </w:tr>
      <w:tr>
        <w:tc>
          <w:tcPr>
            <w:tcW w:type="dxa" w:w="2211"/>
          </w:tcPr>
          <w:p>
            <w:pPr>
              <w:spacing w:after="0" w:before="0"/>
            </w:pPr>
            <w:r/>
            <w:r>
              <w:rPr>
                <w:b/>
                <w:sz w:val="16"/>
              </w:rPr>
              <w:t>QoS 2 hacia Central</w:t>
            </w:r>
          </w:p>
        </w:tc>
        <w:tc>
          <w:tcPr>
            <w:tcW w:type="dxa" w:w="2381"/>
          </w:tcPr>
          <w:p>
            <w:pPr>
              <w:spacing w:after="0" w:before="0"/>
            </w:pPr>
            <w:r/>
            <w:r>
              <w:rPr>
                <w:b w:val="0"/>
                <w:sz w:val="16"/>
              </w:rPr>
              <w:t>n/a</w:t>
            </w:r>
          </w:p>
        </w:tc>
        <w:tc>
          <w:tcPr>
            <w:tcW w:type="dxa" w:w="3005"/>
          </w:tcPr>
          <w:p>
            <w:pPr>
              <w:spacing w:after="0" w:before="0"/>
            </w:pPr>
            <w:r/>
            <w:r>
              <w:rPr>
                <w:b w:val="0"/>
                <w:sz w:val="16"/>
              </w:rPr>
              <w:t>Hub responde PUBACK ⇒ degrada a QoS 1</w:t>
            </w:r>
          </w:p>
        </w:tc>
        <w:tc>
          <w:tcPr>
            <w:tcW w:type="dxa" w:w="2494"/>
          </w:tcPr>
          <w:p>
            <w:pPr>
              <w:spacing w:after="0" w:before="0"/>
            </w:pPr>
            <w:r/>
            <w:r>
              <w:rPr>
                <w:b w:val="0"/>
                <w:sz w:val="16"/>
              </w:rPr>
              <w:t>no soportado</w:t>
            </w:r>
          </w:p>
        </w:tc>
      </w:tr>
    </w:tbl>
    <w:tbl>
      <w:tblPr>
        <w:tblW w:type="auto" w:w="0"/>
        <w:jc w:val="center"/>
        <w:tblLook w:firstColumn="1" w:firstRow="1" w:lastColumn="0" w:lastRow="0" w:noHBand="0" w:noVBand="1" w:val="04A0"/>
      </w:tblPr>
      <w:tblGrid>
        <w:gridCol w:w="5159"/>
        <w:gridCol w:w="5159"/>
      </w:tblGrid>
      <w:tr>
        <w:tc>
          <w:tcPr>
            <w:tcW w:type="dxa" w:w="5159"/>
          </w:tcPr>
          <w:p>
            <w:pPr>
              <w:jc w:val="center"/>
            </w:pPr>
            <w:r>
              <w:drawing>
                <wp:inline xmlns:a="http://schemas.openxmlformats.org/drawingml/2006/main" xmlns:pic="http://schemas.openxmlformats.org/drawingml/2006/picture">
                  <wp:extent cx="2916000" cy="2665033"/>
                  <wp:docPr id="7" name="Picture 7"/>
                  <wp:cNvGraphicFramePr>
                    <a:graphicFrameLocks noChangeAspect="1"/>
                  </wp:cNvGraphicFramePr>
                  <a:graphic>
                    <a:graphicData uri="http://schemas.openxmlformats.org/drawingml/2006/picture">
                      <pic:pic>
                        <pic:nvPicPr>
                          <pic:cNvPr id="0" name="02-corte-reconexion.png"/>
                          <pic:cNvPicPr/>
                        </pic:nvPicPr>
                        <pic:blipFill>
                          <a:blip r:embed="rId15"/>
                          <a:stretch>
                            <a:fillRect/>
                          </a:stretch>
                        </pic:blipFill>
                        <pic:spPr>
                          <a:xfrm>
                            <a:off x="0" y="0"/>
                            <a:ext cx="2916000" cy="2665033"/>
                          </a:xfrm>
                          <a:prstGeom prst="rect"/>
                        </pic:spPr>
                      </pic:pic>
                    </a:graphicData>
                  </a:graphic>
                </wp:inline>
              </w:drawing>
            </w:r>
          </w:p>
        </w:tc>
        <w:tc>
          <w:tcPr>
            <w:tcW w:type="dxa" w:w="5159"/>
          </w:tcPr>
          <w:p>
            <w:pPr>
              <w:jc w:val="center"/>
            </w:pPr>
            <w:r>
              <w:drawing>
                <wp:inline xmlns:a="http://schemas.openxmlformats.org/drawingml/2006/main" xmlns:pic="http://schemas.openxmlformats.org/drawingml/2006/picture">
                  <wp:extent cx="3311999" cy="1827310"/>
                  <wp:docPr id="8" name="Picture 8"/>
                  <wp:cNvGraphicFramePr>
                    <a:graphicFrameLocks noChangeAspect="1"/>
                  </wp:cNvGraphicFramePr>
                  <a:graphic>
                    <a:graphicData uri="http://schemas.openxmlformats.org/drawingml/2006/picture">
                      <pic:pic>
                        <pic:nvPicPr>
                          <pic:cNvPr id="0" name="03-qos2-degradado.png"/>
                          <pic:cNvPicPr/>
                        </pic:nvPicPr>
                        <pic:blipFill>
                          <a:blip r:embed="rId16"/>
                          <a:stretch>
                            <a:fillRect/>
                          </a:stretch>
                        </pic:blipFill>
                        <pic:spPr>
                          <a:xfrm>
                            <a:off x="0" y="0"/>
                            <a:ext cx="3311999" cy="1827310"/>
                          </a:xfrm>
                          <a:prstGeom prst="rect"/>
                        </pic:spPr>
                      </pic:pic>
                    </a:graphicData>
                  </a:graphic>
                </wp:inline>
              </w:drawing>
            </w:r>
          </w:p>
        </w:tc>
      </w:tr>
    </w:tbl>
    <w:p>
      <w:pPr>
        <w:spacing w:before="20" w:after="60"/>
        <w:jc w:val="center"/>
      </w:pPr>
      <w:r>
        <w:rPr>
          <w:i/>
          <w:color w:val="64748B"/>
          <w:sz w:val="15"/>
        </w:rPr>
        <w:t>Fig. 4 — (izq.) corte de red 16 s: DESCONECTADO (rc=7), encolado y reconexión automática con flush sin pérdida (ACK de 15.4 s→0.5 s).  (der.) QoS 2: el Hub responde PUBACK en vez de PUBREC (degrada a QoS 1).</w:t>
      </w:r>
    </w:p>
    <w:p>
      <w:pPr>
        <w:spacing w:before="100" w:after="40"/>
      </w:pPr>
      <w:r>
        <w:rPr>
          <w:b/>
          <w:color w:val="1D4ED8"/>
          <w:sz w:val="23"/>
        </w:rPr>
        <w:t>5. Comparación de los tres caminos (Etapa 4)</w:t>
      </w:r>
    </w:p>
    <w:tbl>
      <w:tblPr>
        <w:tblStyle w:val="TableGrid"/>
        <w:tblW w:type="auto" w:w="0"/>
        <w:jc w:val="center"/>
        <w:tblLook w:firstColumn="1" w:firstRow="1" w:lastColumn="0" w:lastRow="0" w:noHBand="0" w:noVBand="1" w:val="04A0"/>
      </w:tblPr>
      <w:tblGrid>
        <w:gridCol w:w="2579"/>
        <w:gridCol w:w="2579"/>
        <w:gridCol w:w="2579"/>
        <w:gridCol w:w="2579"/>
      </w:tblGrid>
      <w:tr>
        <w:tc>
          <w:tcPr>
            <w:tcW w:type="dxa" w:w="2268"/>
            <w:shd w:val="clear" w:fill="1D4ED8"/>
          </w:tcPr>
          <w:p>
            <w:pPr>
              <w:spacing w:after="0" w:before="0"/>
              <w:jc w:val="center"/>
            </w:pPr>
            <w:r/>
            <w:r>
              <w:rPr>
                <w:b/>
                <w:color w:val="FFFFFF"/>
                <w:sz w:val="17"/>
              </w:rPr>
              <w:t>Criterio</w:t>
            </w:r>
          </w:p>
        </w:tc>
        <w:tc>
          <w:tcPr>
            <w:tcW w:type="dxa" w:w="2381"/>
            <w:shd w:val="clear" w:fill="1D4ED8"/>
          </w:tcPr>
          <w:p>
            <w:pPr>
              <w:spacing w:after="0" w:before="0"/>
              <w:jc w:val="center"/>
            </w:pPr>
            <w:r/>
            <w:r>
              <w:rPr>
                <w:b/>
                <w:color w:val="FFFFFF"/>
                <w:sz w:val="17"/>
              </w:rPr>
              <w:t>SDK Python</w:t>
            </w:r>
          </w:p>
        </w:tc>
        <w:tc>
          <w:tcPr>
            <w:tcW w:type="dxa" w:w="2721"/>
            <w:shd w:val="clear" w:fill="1D4ED8"/>
          </w:tcPr>
          <w:p>
            <w:pPr>
              <w:spacing w:after="0" w:before="0"/>
              <w:jc w:val="center"/>
            </w:pPr>
            <w:r/>
            <w:r>
              <w:rPr>
                <w:b/>
                <w:color w:val="FFFFFF"/>
                <w:sz w:val="17"/>
              </w:rPr>
              <w:t>MQTT explícito</w:t>
            </w:r>
          </w:p>
        </w:tc>
        <w:tc>
          <w:tcPr>
            <w:tcW w:type="dxa" w:w="2608"/>
            <w:shd w:val="clear" w:fill="1D4ED8"/>
          </w:tcPr>
          <w:p>
            <w:pPr>
              <w:spacing w:after="0" w:before="0"/>
              <w:jc w:val="center"/>
            </w:pPr>
            <w:r/>
            <w:r>
              <w:rPr>
                <w:b/>
                <w:color w:val="FFFFFF"/>
                <w:sz w:val="17"/>
              </w:rPr>
              <w:t>ESP32 Arduino</w:t>
            </w:r>
          </w:p>
        </w:tc>
      </w:tr>
      <w:tr>
        <w:tc>
          <w:tcPr>
            <w:tcW w:type="dxa" w:w="2268"/>
          </w:tcPr>
          <w:p>
            <w:pPr>
              <w:spacing w:after="0" w:before="0"/>
            </w:pPr>
            <w:r/>
            <w:r>
              <w:rPr>
                <w:b/>
                <w:sz w:val="16"/>
              </w:rPr>
              <w:t>Facilidad de implementación</w:t>
            </w:r>
          </w:p>
        </w:tc>
        <w:tc>
          <w:tcPr>
            <w:tcW w:type="dxa" w:w="2381"/>
          </w:tcPr>
          <w:p>
            <w:pPr>
              <w:spacing w:after="0" w:before="0"/>
            </w:pPr>
            <w:r/>
            <w:r>
              <w:rPr>
                <w:b w:val="0"/>
                <w:sz w:val="16"/>
              </w:rPr>
              <w:t>Alta (pocas líneas)</w:t>
            </w:r>
          </w:p>
        </w:tc>
        <w:tc>
          <w:tcPr>
            <w:tcW w:type="dxa" w:w="2721"/>
          </w:tcPr>
          <w:p>
            <w:pPr>
              <w:spacing w:after="0" w:before="0"/>
            </w:pPr>
            <w:r/>
            <w:r>
              <w:rPr>
                <w:b w:val="0"/>
                <w:sz w:val="16"/>
              </w:rPr>
              <w:t>Media (SAS/topics/QoS a mano)</w:t>
            </w:r>
          </w:p>
        </w:tc>
        <w:tc>
          <w:tcPr>
            <w:tcW w:type="dxa" w:w="2608"/>
          </w:tcPr>
          <w:p>
            <w:pPr>
              <w:spacing w:after="0" w:before="0"/>
            </w:pPr>
            <w:r/>
            <w:r>
              <w:rPr>
                <w:b w:val="0"/>
                <w:sz w:val="16"/>
              </w:rPr>
              <w:t>Media-baja (C++, mbedTLS)</w:t>
            </w:r>
          </w:p>
        </w:tc>
      </w:tr>
      <w:tr>
        <w:tc>
          <w:tcPr>
            <w:tcW w:type="dxa" w:w="2268"/>
            <w:shd w:val="clear" w:fill="EEF2FF"/>
          </w:tcPr>
          <w:p>
            <w:pPr>
              <w:spacing w:after="0" w:before="0"/>
            </w:pPr>
            <w:r/>
            <w:r>
              <w:rPr>
                <w:b/>
                <w:sz w:val="16"/>
              </w:rPr>
              <w:t>Control del protocolo</w:t>
            </w:r>
          </w:p>
        </w:tc>
        <w:tc>
          <w:tcPr>
            <w:tcW w:type="dxa" w:w="2381"/>
            <w:shd w:val="clear" w:fill="EEF2FF"/>
          </w:tcPr>
          <w:p>
            <w:pPr>
              <w:spacing w:after="0" w:before="0"/>
            </w:pPr>
            <w:r/>
            <w:r>
              <w:rPr>
                <w:b w:val="0"/>
                <w:sz w:val="16"/>
              </w:rPr>
              <w:t>Bajo (caja negra)</w:t>
            </w:r>
          </w:p>
        </w:tc>
        <w:tc>
          <w:tcPr>
            <w:tcW w:type="dxa" w:w="2721"/>
            <w:shd w:val="clear" w:fill="EEF2FF"/>
          </w:tcPr>
          <w:p>
            <w:pPr>
              <w:spacing w:after="0" w:before="0"/>
            </w:pPr>
            <w:r/>
            <w:r>
              <w:rPr>
                <w:b w:val="0"/>
                <w:sz w:val="16"/>
              </w:rPr>
              <w:t>Total</w:t>
            </w:r>
          </w:p>
        </w:tc>
        <w:tc>
          <w:tcPr>
            <w:tcW w:type="dxa" w:w="2608"/>
            <w:shd w:val="clear" w:fill="EEF2FF"/>
          </w:tcPr>
          <w:p>
            <w:pPr>
              <w:spacing w:after="0" w:before="0"/>
            </w:pPr>
            <w:r/>
            <w:r>
              <w:rPr>
                <w:b w:val="0"/>
                <w:sz w:val="16"/>
              </w:rPr>
              <w:t>Alto (PubSubClient)</w:t>
            </w:r>
          </w:p>
        </w:tc>
      </w:tr>
      <w:tr>
        <w:tc>
          <w:tcPr>
            <w:tcW w:type="dxa" w:w="2268"/>
          </w:tcPr>
          <w:p>
            <w:pPr>
              <w:spacing w:after="0" w:before="0"/>
            </w:pPr>
            <w:r/>
            <w:r>
              <w:rPr>
                <w:b/>
                <w:sz w:val="16"/>
              </w:rPr>
              <w:t>Payload / formato</w:t>
            </w:r>
          </w:p>
        </w:tc>
        <w:tc>
          <w:tcPr>
            <w:tcW w:type="dxa" w:w="2381"/>
          </w:tcPr>
          <w:p>
            <w:pPr>
              <w:spacing w:after="0" w:before="0"/>
            </w:pPr>
            <w:r/>
            <w:r>
              <w:rPr>
                <w:b w:val="0"/>
                <w:sz w:val="16"/>
              </w:rPr>
              <w:t>No se controla</w:t>
            </w:r>
          </w:p>
        </w:tc>
        <w:tc>
          <w:tcPr>
            <w:tcW w:type="dxa" w:w="2721"/>
          </w:tcPr>
          <w:p>
            <w:pPr>
              <w:spacing w:after="0" w:before="0"/>
            </w:pPr>
            <w:r/>
            <w:r>
              <w:rPr>
                <w:b w:val="0"/>
                <w:sz w:val="16"/>
              </w:rPr>
              <w:t>Se controla (compacto)</w:t>
            </w:r>
          </w:p>
        </w:tc>
        <w:tc>
          <w:tcPr>
            <w:tcW w:type="dxa" w:w="2608"/>
          </w:tcPr>
          <w:p>
            <w:pPr>
              <w:spacing w:after="0" w:before="0"/>
            </w:pPr>
            <w:r/>
            <w:r>
              <w:rPr>
                <w:b w:val="0"/>
                <w:sz w:val="16"/>
              </w:rPr>
              <w:t>Se controla en firmware</w:t>
            </w:r>
          </w:p>
        </w:tc>
      </w:tr>
      <w:tr>
        <w:tc>
          <w:tcPr>
            <w:tcW w:type="dxa" w:w="2268"/>
            <w:shd w:val="clear" w:fill="EEF2FF"/>
          </w:tcPr>
          <w:p>
            <w:pPr>
              <w:spacing w:after="0" w:before="0"/>
            </w:pPr>
            <w:r/>
            <w:r>
              <w:rPr>
                <w:b/>
                <w:sz w:val="16"/>
              </w:rPr>
              <w:t>Latencia percibida</w:t>
            </w:r>
          </w:p>
        </w:tc>
        <w:tc>
          <w:tcPr>
            <w:tcW w:type="dxa" w:w="2381"/>
            <w:shd w:val="clear" w:fill="EEF2FF"/>
          </w:tcPr>
          <w:p>
            <w:pPr>
              <w:spacing w:after="0" w:before="0"/>
            </w:pPr>
            <w:r/>
            <w:r>
              <w:rPr>
                <w:b w:val="0"/>
                <w:sz w:val="16"/>
              </w:rPr>
              <w:t>~140 ms (oculta)</w:t>
            </w:r>
          </w:p>
        </w:tc>
        <w:tc>
          <w:tcPr>
            <w:tcW w:type="dxa" w:w="2721"/>
            <w:shd w:val="clear" w:fill="EEF2FF"/>
          </w:tcPr>
          <w:p>
            <w:pPr>
              <w:spacing w:after="0" w:before="0"/>
            </w:pPr>
            <w:r/>
            <w:r>
              <w:rPr>
                <w:b w:val="0"/>
                <w:sz w:val="16"/>
              </w:rPr>
              <w:t>~140 ms (medible)</w:t>
            </w:r>
          </w:p>
        </w:tc>
        <w:tc>
          <w:tcPr>
            <w:tcW w:type="dxa" w:w="2608"/>
            <w:shd w:val="clear" w:fill="EEF2FF"/>
          </w:tcPr>
          <w:p>
            <w:pPr>
              <w:spacing w:after="0" w:before="0"/>
            </w:pPr>
            <w:r/>
            <w:r>
              <w:rPr>
                <w:b w:val="0"/>
                <w:sz w:val="16"/>
              </w:rPr>
              <w:t>similar</w:t>
            </w:r>
          </w:p>
        </w:tc>
      </w:tr>
      <w:tr>
        <w:tc>
          <w:tcPr>
            <w:tcW w:type="dxa" w:w="2268"/>
          </w:tcPr>
          <w:p>
            <w:pPr>
              <w:spacing w:after="0" w:before="0"/>
            </w:pPr>
            <w:r/>
            <w:r>
              <w:rPr>
                <w:b/>
                <w:sz w:val="16"/>
              </w:rPr>
              <w:t>Reconexión</w:t>
            </w:r>
          </w:p>
        </w:tc>
        <w:tc>
          <w:tcPr>
            <w:tcW w:type="dxa" w:w="2381"/>
          </w:tcPr>
          <w:p>
            <w:pPr>
              <w:spacing w:after="0" w:before="0"/>
            </w:pPr>
            <w:r/>
            <w:r>
              <w:rPr>
                <w:b w:val="0"/>
                <w:sz w:val="16"/>
              </w:rPr>
              <w:t>Automática</w:t>
            </w:r>
          </w:p>
        </w:tc>
        <w:tc>
          <w:tcPr>
            <w:tcW w:type="dxa" w:w="2721"/>
          </w:tcPr>
          <w:p>
            <w:pPr>
              <w:spacing w:after="0" w:before="0"/>
            </w:pPr>
            <w:r/>
            <w:r>
              <w:rPr>
                <w:b w:val="0"/>
                <w:sz w:val="16"/>
              </w:rPr>
              <w:t>Auto (loop paho); renovar SAS</w:t>
            </w:r>
          </w:p>
        </w:tc>
        <w:tc>
          <w:tcPr>
            <w:tcW w:type="dxa" w:w="2608"/>
          </w:tcPr>
          <w:p>
            <w:pPr>
              <w:spacing w:after="0" w:before="0"/>
            </w:pPr>
            <w:r/>
            <w:r>
              <w:rPr>
                <w:b w:val="0"/>
                <w:sz w:val="16"/>
              </w:rPr>
              <w:t>Manual en loop()</w:t>
            </w:r>
          </w:p>
        </w:tc>
      </w:tr>
      <w:tr>
        <w:tc>
          <w:tcPr>
            <w:tcW w:type="dxa" w:w="2268"/>
            <w:shd w:val="clear" w:fill="EEF2FF"/>
          </w:tcPr>
          <w:p>
            <w:pPr>
              <w:spacing w:after="0" w:before="0"/>
            </w:pPr>
            <w:r/>
            <w:r>
              <w:rPr>
                <w:b/>
                <w:sz w:val="16"/>
              </w:rPr>
              <w:t>Útil para…</w:t>
            </w:r>
          </w:p>
        </w:tc>
        <w:tc>
          <w:tcPr>
            <w:tcW w:type="dxa" w:w="2381"/>
            <w:shd w:val="clear" w:fill="EEF2FF"/>
          </w:tcPr>
          <w:p>
            <w:pPr>
              <w:spacing w:after="0" w:before="0"/>
            </w:pPr>
            <w:r/>
            <w:r>
              <w:rPr>
                <w:b w:val="0"/>
                <w:sz w:val="16"/>
              </w:rPr>
              <w:t>Producción rápida</w:t>
            </w:r>
          </w:p>
        </w:tc>
        <w:tc>
          <w:tcPr>
            <w:tcW w:type="dxa" w:w="2721"/>
            <w:shd w:val="clear" w:fill="EEF2FF"/>
          </w:tcPr>
          <w:p>
            <w:pPr>
              <w:spacing w:after="0" w:before="0"/>
            </w:pPr>
            <w:r/>
            <w:r>
              <w:rPr>
                <w:b w:val="0"/>
                <w:sz w:val="16"/>
              </w:rPr>
              <w:t>Depurar / integrar / portar</w:t>
            </w:r>
          </w:p>
        </w:tc>
        <w:tc>
          <w:tcPr>
            <w:tcW w:type="dxa" w:w="2608"/>
            <w:shd w:val="clear" w:fill="EEF2FF"/>
          </w:tcPr>
          <w:p>
            <w:pPr>
              <w:spacing w:after="0" w:before="0"/>
            </w:pPr>
            <w:r/>
            <w:r>
              <w:rPr>
                <w:b w:val="0"/>
                <w:sz w:val="16"/>
              </w:rPr>
              <w:t>Hardware real / edge</w:t>
            </w:r>
          </w:p>
        </w:tc>
      </w:tr>
    </w:tbl>
    <w:p>
      <w:pPr>
        <w:spacing w:before="100" w:after="40"/>
      </w:pPr>
      <w:r>
        <w:rPr>
          <w:b/>
          <w:color w:val="1D4ED8"/>
          <w:sz w:val="23"/>
        </w:rPr>
        <w:t>6. Conclusión — QoS y cuándo usar cada camino</w:t>
      </w:r>
    </w:p>
    <w:p>
      <w:pPr>
        <w:spacing w:after="60" w:before="0"/>
      </w:pPr>
      <w:r>
        <w:rPr>
          <w:color w:val="1E293B"/>
          <w:sz w:val="18"/>
        </w:rPr>
        <w:t>QoS: IoT Central (IoT Hub) admite QoS 0 y 1. QoS 2 no está implementado: al publicar en QoS 2 el Hub responde con PUBACK (el acuse de QoS 1) en lugar del handshake PUBREC/PUBREL/PUBCOMP, es decir, lo degrada a QoS 1 y no ofrece la garantía exactly-once. Para telemetría ambiental QoS 1 es el punto óptimo (entrega al-menos-una-vez con encolado y reconexión, como demostró la prueba de corte); QoS 0 sirve para datos de alta frecuencia donde perder alguna muestra es tolerable.</w:t>
      </w:r>
    </w:p>
    <w:p>
      <w:pPr>
        <w:spacing w:after="40" w:before="0"/>
      </w:pPr>
      <w:r>
        <w:rPr>
          <w:color w:val="1E293B"/>
          <w:sz w:val="18"/>
        </w:rPr>
        <w:t>Cuándo cada uno: el SDK conviene para desarrollar rápido sin preocuparse por el protocolo (producción típica). El cliente MQTT explícito conviene cuando se necesita control fino —formato del payload, elegir QoS, integrarlo en un cliente propio, depurar el tráfico o portarlo a un lenguaje sin SDK—. El ESP32/Arduino es el camino natural en hardware real: su firmware ya es MQTT explícito.</w:t>
      </w:r>
    </w:p>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