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Calibri" w:hAnsi="Calibri" w:eastAsia="Calibri"/>
          <w:b/>
          <w:i w:val="0"/>
          <w:color w:val="1F7A5C"/>
          <w:sz w:val="56"/>
        </w:rPr>
        <w:t>DISTRITO URBANO</w:t>
      </w:r>
    </w:p>
    <w:p>
      <w:pPr>
        <w:jc w:val="center"/>
      </w:pPr>
      <w:r>
        <w:rPr>
          <w:rFonts w:ascii="Calibri" w:hAnsi="Calibri" w:eastAsia="Calibri"/>
          <w:b w:val="0"/>
          <w:i/>
          <w:color w:val="4C5960"/>
          <w:sz w:val="28"/>
        </w:rPr>
        <w:t>Tienda Digital</w:t>
      </w:r>
    </w:p>
    <w:p/>
    <w:p/>
    <w:p>
      <w:pPr>
        <w:jc w:val="center"/>
      </w:pPr>
      <w:r>
        <w:rPr>
          <w:rFonts w:ascii="Calibri" w:hAnsi="Calibri" w:eastAsia="Calibri"/>
          <w:b/>
          <w:i w:val="0"/>
          <w:color w:val="134E3A"/>
          <w:sz w:val="44"/>
        </w:rPr>
        <w:t>Diagrama de Casos de Uso</w:t>
      </w:r>
    </w:p>
    <w:p/>
    <w:p/>
    <w:p/>
    <w:p>
      <w:pPr>
        <w:jc w:val="center"/>
      </w:pPr>
      <w:r>
        <w:rPr>
          <w:rFonts w:ascii="Calibri" w:hAnsi="Calibri" w:eastAsia="Calibri"/>
          <w:b/>
          <w:i w:val="0"/>
          <w:color w:val="172026"/>
          <w:sz w:val="24"/>
        </w:rPr>
        <w:t>Universidad Autónoma de Bucaramanga (UNAB)</w:t>
      </w:r>
    </w:p>
    <w:p>
      <w:pPr>
        <w:jc w:val="center"/>
      </w:pPr>
      <w:r>
        <w:rPr>
          <w:rFonts w:ascii="Calibri" w:hAnsi="Calibri" w:eastAsia="Calibri"/>
          <w:b w:val="0"/>
          <w:i w:val="0"/>
          <w:color w:val="172026"/>
          <w:sz w:val="23"/>
        </w:rPr>
        <w:t>Ingeniería de Software</w:t>
      </w:r>
    </w:p>
    <w:p>
      <w:pPr>
        <w:jc w:val="center"/>
      </w:pPr>
      <w:r>
        <w:rPr>
          <w:rFonts w:ascii="Calibri" w:hAnsi="Calibri" w:eastAsia="Calibri"/>
          <w:b w:val="0"/>
          <w:i/>
          <w:color w:val="4C5960"/>
          <w:sz w:val="21"/>
        </w:rPr>
        <w:t>Docente: (Docente del curso)</w:t>
      </w:r>
    </w:p>
    <w:p/>
    <w:p/>
    <w:p>
      <w:pPr>
        <w:jc w:val="center"/>
      </w:pPr>
      <w:r>
        <w:rPr>
          <w:rFonts w:ascii="Calibri" w:hAnsi="Calibri" w:eastAsia="Calibri"/>
          <w:b/>
          <w:i w:val="0"/>
          <w:color w:val="1F7A5C"/>
          <w:sz w:val="23"/>
        </w:rPr>
        <w:t>Integrantes</w:t>
      </w:r>
    </w:p>
    <w:p>
      <w:pPr>
        <w:jc w:val="center"/>
      </w:pPr>
      <w:r>
        <w:rPr>
          <w:rFonts w:ascii="Calibri" w:hAnsi="Calibri" w:eastAsia="Calibri"/>
          <w:b w:val="0"/>
          <w:i w:val="0"/>
          <w:color w:val="172026"/>
          <w:sz w:val="21"/>
        </w:rPr>
        <w:t>Daniel Villamizar — Frontend</w:t>
      </w:r>
    </w:p>
    <w:p>
      <w:pPr>
        <w:jc w:val="center"/>
      </w:pPr>
      <w:r>
        <w:rPr>
          <w:rFonts w:ascii="Calibri" w:hAnsi="Calibri" w:eastAsia="Calibri"/>
          <w:b w:val="0"/>
          <w:i w:val="0"/>
          <w:color w:val="172026"/>
          <w:sz w:val="21"/>
        </w:rPr>
        <w:t>Santiago Pérez — Backend</w:t>
      </w:r>
    </w:p>
    <w:p>
      <w:pPr>
        <w:jc w:val="center"/>
      </w:pPr>
      <w:r>
        <w:rPr>
          <w:rFonts w:ascii="Calibri" w:hAnsi="Calibri" w:eastAsia="Calibri"/>
          <w:b w:val="0"/>
          <w:i w:val="0"/>
          <w:color w:val="172026"/>
          <w:sz w:val="21"/>
        </w:rPr>
        <w:t>Tomás Urieles — Scrum Master / Infraestructura</w:t>
      </w:r>
    </w:p>
    <w:p/>
    <w:p>
      <w:pPr>
        <w:jc w:val="center"/>
      </w:pPr>
      <w:r>
        <w:rPr>
          <w:rFonts w:ascii="Calibri" w:hAnsi="Calibri" w:eastAsia="Calibri"/>
          <w:b w:val="0"/>
          <w:i/>
          <w:color w:val="4C5960"/>
          <w:sz w:val="21"/>
        </w:rPr>
        <w:t>Mayo de 2026</w:t>
      </w:r>
    </w:p>
    <w:p>
      <w:r>
        <w:br w:type="page"/>
      </w:r>
    </w:p>
    <w:p>
      <w:pPr>
        <w:spacing w:before="360" w:after="120"/>
        <w:pBdr>
          <w:bottom w:val="single" w:sz="8" w:color="1F7A5C"/>
        </w:pBdr>
      </w:pPr>
      <w:r>
        <w:rPr>
          <w:rFonts w:ascii="Calibri" w:hAnsi="Calibri" w:eastAsia="Calibri"/>
          <w:b/>
          <w:i w:val="0"/>
          <w:color w:val="1F7A5C"/>
          <w:sz w:val="32"/>
        </w:rPr>
        <w:t>1. Introducción</w:t>
      </w:r>
    </w:p>
    <w:p>
      <w:pPr>
        <w:spacing w:before="80" w:after="80"/>
        <w:jc w:val="both"/>
      </w:pPr>
      <w:r>
        <w:rPr>
          <w:rFonts w:ascii="Calibri" w:hAnsi="Calibri" w:eastAsia="Calibri"/>
          <w:b w:val="0"/>
          <w:i w:val="0"/>
          <w:color w:val="172026"/>
          <w:sz w:val="22"/>
        </w:rPr>
        <w:t>Este documento presenta el diagrama UML de casos de uso del sistema Distrito Urbano. El diagrama muestra los actores principales (cliente, administrador y dos sistemas externos: la pasarela de pago y el servicio SMTP) junto con los casos de uso del sistema en infinitivo. Se modelan las relaciones &lt;&lt;include&gt;&gt; para los pasos obligatorios y &lt;&lt;extend&gt;&gt; para los caminos opcionales del flujo.</w:t>
      </w:r>
    </w:p>
    <w:p>
      <w:pPr>
        <w:spacing w:before="360" w:after="120"/>
        <w:pBdr>
          <w:bottom w:val="single" w:sz="8" w:color="1F7A5C"/>
        </w:pBdr>
      </w:pPr>
      <w:r>
        <w:rPr>
          <w:rFonts w:ascii="Calibri" w:hAnsi="Calibri" w:eastAsia="Calibri"/>
          <w:b/>
          <w:i w:val="0"/>
          <w:color w:val="1F7A5C"/>
          <w:sz w:val="32"/>
        </w:rPr>
        <w:t>2. Convenciones del diagrama</w:t>
      </w:r>
    </w:p>
    <w:p>
      <w:pPr>
        <w:pStyle w:val="ListBullet"/>
        <w:spacing w:after="40"/>
        <w:ind w:left="340"/>
      </w:pPr>
      <w:r>
        <w:rPr>
          <w:rFonts w:ascii="Calibri" w:hAnsi="Calibri" w:eastAsia="Calibri"/>
          <w:b w:val="0"/>
          <w:i w:val="0"/>
          <w:color w:val="172026"/>
          <w:sz w:val="21"/>
        </w:rPr>
        <w:t>Las elipses representan casos de uso, nombrados en infinitivo.</w:t>
      </w:r>
    </w:p>
    <w:p>
      <w:pPr>
        <w:pStyle w:val="ListBullet"/>
        <w:spacing w:after="40"/>
        <w:ind w:left="340"/>
      </w:pPr>
      <w:r>
        <w:rPr>
          <w:rFonts w:ascii="Calibri" w:hAnsi="Calibri" w:eastAsia="Calibri"/>
          <w:b w:val="0"/>
          <w:i w:val="0"/>
          <w:color w:val="172026"/>
          <w:sz w:val="21"/>
        </w:rPr>
        <w:t>Los “stick figures” representan actores. El cliente y el administrador son actores humanos; la pasarela de pago y el servicio SMTP son sistemas externos.</w:t>
      </w:r>
    </w:p>
    <w:p>
      <w:pPr>
        <w:pStyle w:val="ListBullet"/>
        <w:spacing w:after="40"/>
        <w:ind w:left="340"/>
      </w:pPr>
      <w:r>
        <w:rPr>
          <w:rFonts w:ascii="Calibri" w:hAnsi="Calibri" w:eastAsia="Calibri"/>
          <w:b w:val="0"/>
          <w:i w:val="0"/>
          <w:color w:val="172026"/>
          <w:sz w:val="21"/>
        </w:rPr>
        <w:t>Las líneas continuas representan asociaciones actor → caso de uso.</w:t>
      </w:r>
    </w:p>
    <w:p>
      <w:pPr>
        <w:pStyle w:val="ListBullet"/>
        <w:spacing w:after="40"/>
        <w:ind w:left="340"/>
      </w:pPr>
      <w:r>
        <w:rPr>
          <w:rFonts w:ascii="Calibri" w:hAnsi="Calibri" w:eastAsia="Calibri"/>
          <w:b w:val="0"/>
          <w:i w:val="0"/>
          <w:color w:val="172026"/>
          <w:sz w:val="21"/>
        </w:rPr>
        <w:t>Las flechas punteadas azules indican relación &lt;&lt;include&gt;&gt;: el caso destino se ejecuta obligatoriamente como parte del caso origen.</w:t>
      </w:r>
    </w:p>
    <w:p>
      <w:pPr>
        <w:pStyle w:val="ListBullet"/>
        <w:spacing w:after="40"/>
        <w:ind w:left="340"/>
      </w:pPr>
      <w:r>
        <w:rPr>
          <w:rFonts w:ascii="Calibri" w:hAnsi="Calibri" w:eastAsia="Calibri"/>
          <w:b w:val="0"/>
          <w:i w:val="0"/>
          <w:color w:val="172026"/>
          <w:sz w:val="21"/>
        </w:rPr>
        <w:t>Las flechas punteadas rojas indican relación &lt;&lt;extend&gt;&gt;: el caso destino extiende opcionalmente el comportamiento del caso origen en ciertas condiciones.</w:t>
      </w:r>
    </w:p>
    <w:p>
      <w:pPr>
        <w:spacing w:before="360" w:after="120"/>
        <w:pBdr>
          <w:bottom w:val="single" w:sz="8" w:color="1F7A5C"/>
        </w:pBdr>
      </w:pPr>
      <w:r>
        <w:rPr>
          <w:rFonts w:ascii="Calibri" w:hAnsi="Calibri" w:eastAsia="Calibri"/>
          <w:b/>
          <w:i w:val="0"/>
          <w:color w:val="1F7A5C"/>
          <w:sz w:val="32"/>
        </w:rPr>
        <w:t>3. Diagrama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417758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casos_de_us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1775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i/>
          <w:color w:val="4C5960"/>
          <w:sz w:val="19"/>
        </w:rPr>
        <w:t>Figura. Diagrama de casos de uso del sistema Distrito Urbano.</w:t>
      </w:r>
    </w:p>
    <w:p>
      <w:pPr>
        <w:spacing w:before="360" w:after="120"/>
        <w:pBdr>
          <w:bottom w:val="single" w:sz="8" w:color="1F7A5C"/>
        </w:pBdr>
      </w:pPr>
      <w:r>
        <w:rPr>
          <w:rFonts w:ascii="Calibri" w:hAnsi="Calibri" w:eastAsia="Calibri"/>
          <w:b/>
          <w:i w:val="0"/>
          <w:color w:val="1F7A5C"/>
          <w:sz w:val="32"/>
        </w:rPr>
        <w:t>4. Relaciones &lt;&lt;include&gt;&gt; y &lt;&lt;extend&gt;&gt;</w:t>
      </w:r>
    </w:p>
    <w:p>
      <w:pPr>
        <w:spacing w:before="80" w:after="80"/>
        <w:jc w:val="both"/>
      </w:pPr>
      <w:r>
        <w:rPr>
          <w:rFonts w:ascii="Calibri" w:hAnsi="Calibri" w:eastAsia="Calibri"/>
          <w:b w:val="0"/>
          <w:i w:val="0"/>
          <w:color w:val="172026"/>
          <w:sz w:val="22"/>
        </w:rPr>
        <w:t>Se destacan las siguientes relaciones modeladas en el diagrama: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268"/>
            <w:shd w:fill="1F7A5C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Caso origen</w:t>
            </w:r>
          </w:p>
        </w:tc>
        <w:tc>
          <w:tcPr>
            <w:tcW w:type="dxa" w:w="1361"/>
            <w:shd w:fill="1F7A5C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Relación</w:t>
            </w:r>
          </w:p>
        </w:tc>
        <w:tc>
          <w:tcPr>
            <w:tcW w:type="dxa" w:w="2268"/>
            <w:shd w:fill="1F7A5C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Caso destino</w:t>
            </w:r>
          </w:p>
        </w:tc>
        <w:tc>
          <w:tcPr>
            <w:tcW w:type="dxa" w:w="3402"/>
            <w:shd w:fill="1F7A5C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Significado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Realizar checkout</w:t>
            </w:r>
          </w:p>
        </w:tc>
        <w:tc>
          <w:tcPr>
            <w:tcW w:type="dxa" w:w="2436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&lt;&lt;include&gt;&gt;</w:t>
            </w:r>
          </w:p>
        </w:tc>
        <w:tc>
          <w:tcPr>
            <w:tcW w:type="dxa" w:w="2436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Gestionar carrito</w:t>
            </w:r>
          </w:p>
        </w:tc>
        <w:tc>
          <w:tcPr>
            <w:tcW w:type="dxa" w:w="2436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El checkout requiere haber preparado el carrito previamente.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Realizar checkout</w:t>
            </w:r>
          </w:p>
        </w:tc>
        <w:tc>
          <w:tcPr>
            <w:tcW w:type="dxa" w:w="2436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&lt;&lt;include&gt;&gt;</w:t>
            </w:r>
          </w:p>
        </w:tc>
        <w:tc>
          <w:tcPr>
            <w:tcW w:type="dxa" w:w="2436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Procesar pago</w:t>
            </w:r>
          </w:p>
        </w:tc>
        <w:tc>
          <w:tcPr>
            <w:tcW w:type="dxa" w:w="2436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Todo checkout obliga a invocar la pasarela de pago como paso central.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Reseñar producto</w:t>
            </w:r>
          </w:p>
        </w:tc>
        <w:tc>
          <w:tcPr>
            <w:tcW w:type="dxa" w:w="2436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&lt;&lt;include&gt;&gt;</w:t>
            </w:r>
          </w:p>
        </w:tc>
        <w:tc>
          <w:tcPr>
            <w:tcW w:type="dxa" w:w="2436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Ver mis pedidos</w:t>
            </w:r>
          </w:p>
        </w:tc>
        <w:tc>
          <w:tcPr>
            <w:tcW w:type="dxa" w:w="2436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Para reseñar, el cliente debe acceder a un pedido propio entregado.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Explorar catálogo</w:t>
            </w:r>
          </w:p>
        </w:tc>
        <w:tc>
          <w:tcPr>
            <w:tcW w:type="dxa" w:w="2436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&lt;&lt;extend&gt;&gt;</w:t>
            </w:r>
          </w:p>
        </w:tc>
        <w:tc>
          <w:tcPr>
            <w:tcW w:type="dxa" w:w="2436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Buscar producto</w:t>
            </w:r>
          </w:p>
        </w:tc>
        <w:tc>
          <w:tcPr>
            <w:tcW w:type="dxa" w:w="2436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La búsqueda con texto/filtros extiende la exploración general del catálogo.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Procesar pago</w:t>
            </w:r>
          </w:p>
        </w:tc>
        <w:tc>
          <w:tcPr>
            <w:tcW w:type="dxa" w:w="2436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&lt;&lt;extend&gt;&gt;</w:t>
            </w:r>
          </w:p>
        </w:tc>
        <w:tc>
          <w:tcPr>
            <w:tcW w:type="dxa" w:w="2436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Recibir notificación</w:t>
            </w:r>
          </w:p>
        </w:tc>
        <w:tc>
          <w:tcPr>
            <w:tcW w:type="dxa" w:w="2436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Cuando el pago se confirma, se dispara una notificación al cliente (correo + push).</w:t>
            </w:r>
          </w:p>
        </w:tc>
      </w:tr>
    </w:tbl>
    <w:p>
      <w:pPr>
        <w:spacing w:before="360" w:after="120"/>
        <w:pBdr>
          <w:bottom w:val="single" w:sz="8" w:color="1F7A5C"/>
        </w:pBdr>
      </w:pPr>
      <w:r>
        <w:rPr>
          <w:rFonts w:ascii="Calibri" w:hAnsi="Calibri" w:eastAsia="Calibri"/>
          <w:b/>
          <w:i w:val="0"/>
          <w:color w:val="1F7A5C"/>
          <w:sz w:val="32"/>
        </w:rPr>
        <w:t>5. Lista de casos de uso del sistema</w:t>
      </w:r>
    </w:p>
    <w:p>
      <w:r>
        <w:rPr>
          <w:rFonts w:ascii="Calibri" w:hAnsi="Calibri" w:eastAsia="Calibri"/>
          <w:b/>
          <w:i w:val="0"/>
          <w:color w:val="134E3A"/>
          <w:sz w:val="22"/>
        </w:rPr>
        <w:t>Casos de uso del Cliente:</w:t>
      </w:r>
    </w:p>
    <w:p>
      <w:pPr>
        <w:pStyle w:val="ListBullet"/>
        <w:spacing w:after="40"/>
        <w:ind w:left="340"/>
      </w:pPr>
      <w:r>
        <w:rPr>
          <w:rFonts w:ascii="Calibri" w:hAnsi="Calibri" w:eastAsia="Calibri"/>
          <w:b w:val="0"/>
          <w:i w:val="0"/>
          <w:color w:val="172026"/>
          <w:sz w:val="21"/>
        </w:rPr>
        <w:t>Registrarse</w:t>
      </w:r>
    </w:p>
    <w:p>
      <w:pPr>
        <w:pStyle w:val="ListBullet"/>
        <w:spacing w:after="40"/>
        <w:ind w:left="340"/>
      </w:pPr>
      <w:r>
        <w:rPr>
          <w:rFonts w:ascii="Calibri" w:hAnsi="Calibri" w:eastAsia="Calibri"/>
          <w:b w:val="0"/>
          <w:i w:val="0"/>
          <w:color w:val="172026"/>
          <w:sz w:val="21"/>
        </w:rPr>
        <w:t>Iniciar sesión</w:t>
      </w:r>
    </w:p>
    <w:p>
      <w:pPr>
        <w:pStyle w:val="ListBullet"/>
        <w:spacing w:after="40"/>
        <w:ind w:left="340"/>
      </w:pPr>
      <w:r>
        <w:rPr>
          <w:rFonts w:ascii="Calibri" w:hAnsi="Calibri" w:eastAsia="Calibri"/>
          <w:b w:val="0"/>
          <w:i w:val="0"/>
          <w:color w:val="172026"/>
          <w:sz w:val="21"/>
        </w:rPr>
        <w:t>Explorar catálogo</w:t>
      </w:r>
    </w:p>
    <w:p>
      <w:pPr>
        <w:pStyle w:val="ListBullet"/>
        <w:spacing w:after="40"/>
        <w:ind w:left="340"/>
      </w:pPr>
      <w:r>
        <w:rPr>
          <w:rFonts w:ascii="Calibri" w:hAnsi="Calibri" w:eastAsia="Calibri"/>
          <w:b w:val="0"/>
          <w:i w:val="0"/>
          <w:color w:val="172026"/>
          <w:sz w:val="21"/>
        </w:rPr>
        <w:t>Buscar producto  (extiende explorar)</w:t>
      </w:r>
    </w:p>
    <w:p>
      <w:pPr>
        <w:pStyle w:val="ListBullet"/>
        <w:spacing w:after="40"/>
        <w:ind w:left="340"/>
      </w:pPr>
      <w:r>
        <w:rPr>
          <w:rFonts w:ascii="Calibri" w:hAnsi="Calibri" w:eastAsia="Calibri"/>
          <w:b w:val="0"/>
          <w:i w:val="0"/>
          <w:color w:val="172026"/>
          <w:sz w:val="21"/>
        </w:rPr>
        <w:t>Consultar detalle de producto</w:t>
      </w:r>
    </w:p>
    <w:p>
      <w:pPr>
        <w:pStyle w:val="ListBullet"/>
        <w:spacing w:after="40"/>
        <w:ind w:left="340"/>
      </w:pPr>
      <w:r>
        <w:rPr>
          <w:rFonts w:ascii="Calibri" w:hAnsi="Calibri" w:eastAsia="Calibri"/>
          <w:b w:val="0"/>
          <w:i w:val="0"/>
          <w:color w:val="172026"/>
          <w:sz w:val="21"/>
        </w:rPr>
        <w:t>Gestionar carrito</w:t>
      </w:r>
    </w:p>
    <w:p>
      <w:pPr>
        <w:pStyle w:val="ListBullet"/>
        <w:spacing w:after="40"/>
        <w:ind w:left="340"/>
      </w:pPr>
      <w:r>
        <w:rPr>
          <w:rFonts w:ascii="Calibri" w:hAnsi="Calibri" w:eastAsia="Calibri"/>
          <w:b w:val="0"/>
          <w:i w:val="0"/>
          <w:color w:val="172026"/>
          <w:sz w:val="21"/>
        </w:rPr>
        <w:t>Realizar checkout  (incluye gestionar carrito y procesar pago)</w:t>
      </w:r>
    </w:p>
    <w:p>
      <w:pPr>
        <w:pStyle w:val="ListBullet"/>
        <w:spacing w:after="40"/>
        <w:ind w:left="340"/>
      </w:pPr>
      <w:r>
        <w:rPr>
          <w:rFonts w:ascii="Calibri" w:hAnsi="Calibri" w:eastAsia="Calibri"/>
          <w:b w:val="0"/>
          <w:i w:val="0"/>
          <w:color w:val="172026"/>
          <w:sz w:val="21"/>
        </w:rPr>
        <w:t>Procesar pago  (interactúa con la pasarela externa)</w:t>
      </w:r>
    </w:p>
    <w:p>
      <w:pPr>
        <w:pStyle w:val="ListBullet"/>
        <w:spacing w:after="40"/>
        <w:ind w:left="340"/>
      </w:pPr>
      <w:r>
        <w:rPr>
          <w:rFonts w:ascii="Calibri" w:hAnsi="Calibri" w:eastAsia="Calibri"/>
          <w:b w:val="0"/>
          <w:i w:val="0"/>
          <w:color w:val="172026"/>
          <w:sz w:val="21"/>
        </w:rPr>
        <w:t>Ver mis pedidos</w:t>
      </w:r>
    </w:p>
    <w:p>
      <w:pPr>
        <w:pStyle w:val="ListBullet"/>
        <w:spacing w:after="40"/>
        <w:ind w:left="340"/>
      </w:pPr>
      <w:r>
        <w:rPr>
          <w:rFonts w:ascii="Calibri" w:hAnsi="Calibri" w:eastAsia="Calibri"/>
          <w:b w:val="0"/>
          <w:i w:val="0"/>
          <w:color w:val="172026"/>
          <w:sz w:val="21"/>
        </w:rPr>
        <w:t>Reseñar producto  (requiere un pedido entregado)</w:t>
      </w:r>
    </w:p>
    <w:p>
      <w:pPr>
        <w:pStyle w:val="ListBullet"/>
        <w:spacing w:after="40"/>
        <w:ind w:left="340"/>
      </w:pPr>
      <w:r>
        <w:rPr>
          <w:rFonts w:ascii="Calibri" w:hAnsi="Calibri" w:eastAsia="Calibri"/>
          <w:b w:val="0"/>
          <w:i w:val="0"/>
          <w:color w:val="172026"/>
          <w:sz w:val="21"/>
        </w:rPr>
        <w:t>Recibir notificación  (extiende procesar pago)</w:t>
      </w:r>
    </w:p>
    <w:p>
      <w:pPr>
        <w:spacing w:before="120"/>
      </w:pPr>
      <w:r>
        <w:rPr>
          <w:rFonts w:ascii="Calibri" w:hAnsi="Calibri" w:eastAsia="Calibri"/>
          <w:b/>
          <w:i w:val="0"/>
          <w:color w:val="134E3A"/>
          <w:sz w:val="22"/>
        </w:rPr>
        <w:t>Casos de uso del Administrador:</w:t>
      </w:r>
    </w:p>
    <w:p>
      <w:pPr>
        <w:pStyle w:val="ListBullet"/>
        <w:spacing w:after="40"/>
        <w:ind w:left="340"/>
      </w:pPr>
      <w:r>
        <w:rPr>
          <w:rFonts w:ascii="Calibri" w:hAnsi="Calibri" w:eastAsia="Calibri"/>
          <w:b w:val="0"/>
          <w:i w:val="0"/>
          <w:color w:val="172026"/>
          <w:sz w:val="21"/>
        </w:rPr>
        <w:t>Gestionar catálogo e inventario</w:t>
      </w:r>
    </w:p>
    <w:p>
      <w:pPr>
        <w:pStyle w:val="ListBullet"/>
        <w:spacing w:after="40"/>
        <w:ind w:left="340"/>
      </w:pPr>
      <w:r>
        <w:rPr>
          <w:rFonts w:ascii="Calibri" w:hAnsi="Calibri" w:eastAsia="Calibri"/>
          <w:b w:val="0"/>
          <w:i w:val="0"/>
          <w:color w:val="172026"/>
          <w:sz w:val="21"/>
        </w:rPr>
        <w:t>Gestionar pedidos operativos (transicionar estados)</w:t>
      </w:r>
    </w:p>
    <w:p>
      <w:pPr>
        <w:pStyle w:val="ListBullet"/>
        <w:spacing w:after="40"/>
        <w:ind w:left="340"/>
      </w:pPr>
      <w:r>
        <w:rPr>
          <w:rFonts w:ascii="Calibri" w:hAnsi="Calibri" w:eastAsia="Calibri"/>
          <w:b w:val="0"/>
          <w:i w:val="0"/>
          <w:color w:val="172026"/>
          <w:sz w:val="21"/>
        </w:rPr>
        <w:t>Aprobar reseñas</w:t>
      </w:r>
    </w:p>
    <w:p>
      <w:pPr>
        <w:pStyle w:val="ListBullet"/>
        <w:spacing w:after="40"/>
        <w:ind w:left="340"/>
      </w:pPr>
      <w:r>
        <w:rPr>
          <w:rFonts w:ascii="Calibri" w:hAnsi="Calibri" w:eastAsia="Calibri"/>
          <w:b w:val="0"/>
          <w:i w:val="0"/>
          <w:color w:val="172026"/>
          <w:sz w:val="21"/>
        </w:rPr>
        <w:t>Configurar tienda</w:t>
      </w:r>
    </w:p>
    <w:p>
      <w:pPr>
        <w:pStyle w:val="ListBullet"/>
        <w:spacing w:after="40"/>
        <w:ind w:left="340"/>
      </w:pPr>
      <w:r>
        <w:rPr>
          <w:rFonts w:ascii="Calibri" w:hAnsi="Calibri" w:eastAsia="Calibri"/>
          <w:b w:val="0"/>
          <w:i w:val="0"/>
          <w:color w:val="172026"/>
          <w:sz w:val="21"/>
        </w:rPr>
        <w:t>Consultar finanzas y reportes</w:t>
      </w:r>
    </w:p>
    <w:p>
      <w:pPr>
        <w:pStyle w:val="ListBullet"/>
        <w:spacing w:after="40"/>
        <w:ind w:left="340"/>
      </w:pPr>
      <w:r>
        <w:rPr>
          <w:rFonts w:ascii="Calibri" w:hAnsi="Calibri" w:eastAsia="Calibri"/>
          <w:b w:val="0"/>
          <w:i w:val="0"/>
          <w:color w:val="172026"/>
          <w:sz w:val="21"/>
        </w:rPr>
        <w:t>Consultar bitácora de auditoría</w:t>
      </w:r>
    </w:p>
    <w:p>
      <w:pPr>
        <w:pStyle w:val="ListBullet"/>
        <w:spacing w:after="40"/>
        <w:ind w:left="340"/>
      </w:pPr>
      <w:r>
        <w:rPr>
          <w:rFonts w:ascii="Calibri" w:hAnsi="Calibri" w:eastAsia="Calibri"/>
          <w:b w:val="0"/>
          <w:i w:val="0"/>
          <w:color w:val="172026"/>
          <w:sz w:val="21"/>
        </w:rPr>
        <w:t>Gestionar empleados y gastos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