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jc w:val="center"/>
      </w:pPr>
      <w:r>
        <w:rPr>
          <w:rFonts w:ascii="Calibri" w:hAnsi="Calibri" w:eastAsia="Calibri"/>
          <w:b/>
          <w:i w:val="0"/>
          <w:color w:val="1F7A5C"/>
          <w:sz w:val="56"/>
        </w:rPr>
        <w:t>DISTRITO URBANO</w:t>
      </w:r>
    </w:p>
    <w:p>
      <w:pPr>
        <w:jc w:val="center"/>
      </w:pPr>
      <w:r>
        <w:rPr>
          <w:rFonts w:ascii="Calibri" w:hAnsi="Calibri" w:eastAsia="Calibri"/>
          <w:b w:val="0"/>
          <w:i/>
          <w:color w:val="4C5960"/>
          <w:sz w:val="28"/>
        </w:rPr>
        <w:t>Tienda Digital</w:t>
      </w:r>
    </w:p>
    <w:p/>
    <w:p/>
    <w:p>
      <w:pPr>
        <w:jc w:val="center"/>
      </w:pPr>
      <w:r>
        <w:rPr>
          <w:rFonts w:ascii="Calibri" w:hAnsi="Calibri" w:eastAsia="Calibri"/>
          <w:b/>
          <w:i w:val="0"/>
          <w:color w:val="134E3A"/>
          <w:sz w:val="44"/>
        </w:rPr>
        <w:t>Diagramas Estructurales UML</w:t>
      </w:r>
    </w:p>
    <w:p/>
    <w:p/>
    <w:p/>
    <w:p>
      <w:pPr>
        <w:jc w:val="center"/>
      </w:pPr>
      <w:r>
        <w:rPr>
          <w:rFonts w:ascii="Calibri" w:hAnsi="Calibri" w:eastAsia="Calibri"/>
          <w:b/>
          <w:i w:val="0"/>
          <w:color w:val="172026"/>
          <w:sz w:val="24"/>
        </w:rPr>
        <w:t>Universidad Autónoma de Bucaramanga (UNAB)</w:t>
      </w:r>
    </w:p>
    <w:p>
      <w:pPr>
        <w:jc w:val="center"/>
      </w:pPr>
      <w:r>
        <w:rPr>
          <w:rFonts w:ascii="Calibri" w:hAnsi="Calibri" w:eastAsia="Calibri"/>
          <w:b w:val="0"/>
          <w:i w:val="0"/>
          <w:color w:val="172026"/>
          <w:sz w:val="23"/>
        </w:rPr>
        <w:t>Ingeniería de Software</w:t>
      </w:r>
    </w:p>
    <w:p>
      <w:pPr>
        <w:jc w:val="center"/>
      </w:pPr>
      <w:r>
        <w:rPr>
          <w:rFonts w:ascii="Calibri" w:hAnsi="Calibri" w:eastAsia="Calibri"/>
          <w:b w:val="0"/>
          <w:i/>
          <w:color w:val="4C5960"/>
          <w:sz w:val="21"/>
        </w:rPr>
        <w:t>Docente: (Docente del curso)</w:t>
      </w:r>
    </w:p>
    <w:p/>
    <w:p/>
    <w:p>
      <w:pPr>
        <w:jc w:val="center"/>
      </w:pPr>
      <w:r>
        <w:rPr>
          <w:rFonts w:ascii="Calibri" w:hAnsi="Calibri" w:eastAsia="Calibri"/>
          <w:b/>
          <w:i w:val="0"/>
          <w:color w:val="1F7A5C"/>
          <w:sz w:val="23"/>
        </w:rPr>
        <w:t>Integrantes</w:t>
      </w:r>
    </w:p>
    <w:p>
      <w:pPr>
        <w:jc w:val="center"/>
      </w:pPr>
      <w:r>
        <w:rPr>
          <w:rFonts w:ascii="Calibri" w:hAnsi="Calibri" w:eastAsia="Calibri"/>
          <w:b w:val="0"/>
          <w:i w:val="0"/>
          <w:color w:val="172026"/>
          <w:sz w:val="21"/>
        </w:rPr>
        <w:t>Daniel Villamizar — Frontend</w:t>
      </w:r>
    </w:p>
    <w:p>
      <w:pPr>
        <w:jc w:val="center"/>
      </w:pPr>
      <w:r>
        <w:rPr>
          <w:rFonts w:ascii="Calibri" w:hAnsi="Calibri" w:eastAsia="Calibri"/>
          <w:b w:val="0"/>
          <w:i w:val="0"/>
          <w:color w:val="172026"/>
          <w:sz w:val="21"/>
        </w:rPr>
        <w:t>Santiago Pérez — Backend</w:t>
      </w:r>
    </w:p>
    <w:p>
      <w:pPr>
        <w:jc w:val="center"/>
      </w:pPr>
      <w:r>
        <w:rPr>
          <w:rFonts w:ascii="Calibri" w:hAnsi="Calibri" w:eastAsia="Calibri"/>
          <w:b w:val="0"/>
          <w:i w:val="0"/>
          <w:color w:val="172026"/>
          <w:sz w:val="21"/>
        </w:rPr>
        <w:t>Tomás Urieles — Scrum Master / Infraestructura</w:t>
      </w:r>
    </w:p>
    <w:p/>
    <w:p>
      <w:pPr>
        <w:jc w:val="center"/>
      </w:pPr>
      <w:r>
        <w:rPr>
          <w:rFonts w:ascii="Calibri" w:hAnsi="Calibri" w:eastAsia="Calibri"/>
          <w:b w:val="0"/>
          <w:i/>
          <w:color w:val="4C5960"/>
          <w:sz w:val="21"/>
        </w:rPr>
        <w:t>Mayo de 2026</w:t>
      </w:r>
    </w:p>
    <w:p>
      <w:r>
        <w:br w:type="page"/>
      </w:r>
    </w:p>
    <w:p>
      <w:pPr>
        <w:spacing w:before="360" w:after="120"/>
        <w:pBdr>
          <w:bottom w:val="single" w:sz="8" w:color="1F7A5C"/>
        </w:pBdr>
      </w:pPr>
      <w:r>
        <w:rPr>
          <w:rFonts w:ascii="Calibri" w:hAnsi="Calibri" w:eastAsia="Calibri"/>
          <w:b/>
          <w:i w:val="0"/>
          <w:color w:val="1F7A5C"/>
          <w:sz w:val="32"/>
        </w:rPr>
        <w:t>1. Introducción</w:t>
      </w:r>
    </w:p>
    <w:p>
      <w:pPr>
        <w:spacing w:before="80" w:after="80"/>
        <w:jc w:val="both"/>
      </w:pPr>
      <w:r>
        <w:rPr>
          <w:rFonts w:ascii="Calibri" w:hAnsi="Calibri" w:eastAsia="Calibri"/>
          <w:b w:val="0"/>
          <w:i w:val="0"/>
          <w:color w:val="172026"/>
          <w:sz w:val="22"/>
        </w:rPr>
        <w:t>Los diagramas estructurales describen las partes que componen el sistema y cómo se relacionan entre sí, independientemente del tiempo. Para Distrito Urbano se presentan tres diagramas estructurales fundamentales: diagrama de clases (modelo de dominio agrupado por microservicio), diagrama de componentes (arquitectura microservicios) y diagrama de despliegue (contenedores Docker en el entorno local).</w:t>
      </w:r>
    </w:p>
    <w:p>
      <w:pPr>
        <w:spacing w:before="360" w:after="120"/>
        <w:pBdr>
          <w:bottom w:val="single" w:sz="8" w:color="1F7A5C"/>
        </w:pBdr>
      </w:pPr>
      <w:r>
        <w:rPr>
          <w:rFonts w:ascii="Calibri" w:hAnsi="Calibri" w:eastAsia="Calibri"/>
          <w:b/>
          <w:i w:val="0"/>
          <w:color w:val="1F7A5C"/>
          <w:sz w:val="32"/>
        </w:rPr>
        <w:t>2. Diagrama de clases — Modelo de dominio</w:t>
      </w:r>
    </w:p>
    <w:p>
      <w:pPr>
        <w:spacing w:before="80" w:after="80"/>
        <w:jc w:val="both"/>
      </w:pPr>
      <w:r>
        <w:rPr>
          <w:rFonts w:ascii="Calibri" w:hAnsi="Calibri" w:eastAsia="Calibri"/>
          <w:b w:val="0"/>
          <w:i w:val="0"/>
          <w:color w:val="172026"/>
          <w:sz w:val="22"/>
        </w:rPr>
        <w:t>El diagrama de clases muestra las entidades persistentes principales del sistema agrupadas por microservicio. Cada microservicio posee su propio esquema MySQL aislado, por lo que las asociaciones entre entidades de distintos microservicios son referencias lógicas (líneas punteadas grises) y NO claves foráneas físicas — esto permite escalar y desplegar cada microservicio de forma independiente sin acoplar la base de datos.</w:t>
      </w:r>
    </w:p>
    <w:p>
      <w:pPr>
        <w:jc w:val="center"/>
      </w:pPr>
      <w:r>
        <w:drawing>
          <wp:inline xmlns:a="http://schemas.openxmlformats.org/drawingml/2006/main" xmlns:pic="http://schemas.openxmlformats.org/drawingml/2006/picture">
            <wp:extent cx="6120000" cy="5012178"/>
            <wp:docPr id="1" name="Picture 1"/>
            <wp:cNvGraphicFramePr>
              <a:graphicFrameLocks noChangeAspect="1"/>
            </wp:cNvGraphicFramePr>
            <a:graphic>
              <a:graphicData uri="http://schemas.openxmlformats.org/drawingml/2006/picture">
                <pic:pic>
                  <pic:nvPicPr>
                    <pic:cNvPr id="0" name="05_clases_dominio.png"/>
                    <pic:cNvPicPr/>
                  </pic:nvPicPr>
                  <pic:blipFill>
                    <a:blip r:embed="rId9"/>
                    <a:stretch>
                      <a:fillRect/>
                    </a:stretch>
                  </pic:blipFill>
                  <pic:spPr>
                    <a:xfrm>
                      <a:off x="0" y="0"/>
                      <a:ext cx="6120000" cy="5012178"/>
                    </a:xfrm>
                    <a:prstGeom prst="rect"/>
                  </pic:spPr>
                </pic:pic>
              </a:graphicData>
            </a:graphic>
          </wp:inline>
        </w:drawing>
      </w:r>
    </w:p>
    <w:p>
      <w:pPr>
        <w:jc w:val="center"/>
      </w:pPr>
      <w:r>
        <w:rPr>
          <w:rFonts w:ascii="Calibri" w:hAnsi="Calibri" w:eastAsia="Calibri"/>
          <w:b w:val="0"/>
          <w:i/>
          <w:color w:val="4C5960"/>
          <w:sz w:val="19"/>
        </w:rPr>
        <w:t>Figura. Diagrama de clases del modelo de dominio (entidades principales por microservicio).</w:t>
      </w:r>
    </w:p>
    <w:p>
      <w:pPr>
        <w:spacing w:before="240" w:after="80"/>
      </w:pPr>
      <w:r>
        <w:rPr>
          <w:rFonts w:ascii="Calibri" w:hAnsi="Calibri" w:eastAsia="Calibri"/>
          <w:b/>
          <w:i w:val="0"/>
          <w:color w:val="134E3A"/>
          <w:sz w:val="26"/>
        </w:rPr>
        <w:t>2.1 Convenciones del diagrama</w:t>
      </w:r>
    </w:p>
    <w:p>
      <w:pPr>
        <w:pStyle w:val="ListBullet"/>
        <w:spacing w:after="40"/>
        <w:ind w:left="340"/>
      </w:pPr>
      <w:r>
        <w:rPr>
          <w:rFonts w:ascii="Calibri" w:hAnsi="Calibri" w:eastAsia="Calibri"/>
          <w:b w:val="0"/>
          <w:i w:val="0"/>
          <w:color w:val="172026"/>
          <w:sz w:val="21"/>
        </w:rPr>
        <w:t>Cada caja representa una entidad persistente con sus atributos principales.</w:t>
      </w:r>
    </w:p>
    <w:p>
      <w:pPr>
        <w:pStyle w:val="ListBullet"/>
        <w:spacing w:after="40"/>
        <w:ind w:left="340"/>
      </w:pPr>
      <w:r>
        <w:rPr>
          <w:rFonts w:ascii="Calibri" w:hAnsi="Calibri" w:eastAsia="Calibri"/>
          <w:b w:val="0"/>
          <w:i w:val="0"/>
          <w:color w:val="172026"/>
          <w:sz w:val="21"/>
        </w:rPr>
        <w:t>El estereotipo &lt;&lt;ref-logica&gt;&gt; en los atributos indica que el ID apunta a una entidad de otro microservicio pero NO es una clave foránea física.</w:t>
      </w:r>
    </w:p>
    <w:p>
      <w:pPr>
        <w:pStyle w:val="ListBullet"/>
        <w:spacing w:after="40"/>
        <w:ind w:left="340"/>
      </w:pPr>
      <w:r>
        <w:rPr>
          <w:rFonts w:ascii="Calibri" w:hAnsi="Calibri" w:eastAsia="Calibri"/>
          <w:b w:val="0"/>
          <w:i w:val="0"/>
          <w:color w:val="172026"/>
          <w:sz w:val="21"/>
        </w:rPr>
        <w:t>Las líneas continuas representan asociaciones con clave foránea real (mismo esquema).</w:t>
      </w:r>
    </w:p>
    <w:p>
      <w:pPr>
        <w:pStyle w:val="ListBullet"/>
        <w:spacing w:after="40"/>
        <w:ind w:left="340"/>
      </w:pPr>
      <w:r>
        <w:rPr>
          <w:rFonts w:ascii="Calibri" w:hAnsi="Calibri" w:eastAsia="Calibri"/>
          <w:b w:val="0"/>
          <w:i w:val="0"/>
          <w:color w:val="172026"/>
          <w:sz w:val="21"/>
        </w:rPr>
        <w:t>Las líneas punteadas grises representan referencias lógicas entre microservicios.</w:t>
      </w:r>
    </w:p>
    <w:p>
      <w:pPr>
        <w:pStyle w:val="ListBullet"/>
        <w:spacing w:after="40"/>
        <w:ind w:left="340"/>
      </w:pPr>
      <w:r>
        <w:rPr>
          <w:rFonts w:ascii="Calibri" w:hAnsi="Calibri" w:eastAsia="Calibri"/>
          <w:b w:val="0"/>
          <w:i w:val="0"/>
          <w:color w:val="172026"/>
          <w:sz w:val="21"/>
        </w:rPr>
        <w:t>El estereotipo &lt;&lt;unique&gt;&gt; indica restricciones de unicidad relevantes.</w:t>
      </w:r>
    </w:p>
    <w:p>
      <w:pPr>
        <w:pStyle w:val="ListBullet"/>
        <w:spacing w:after="40"/>
        <w:ind w:left="340"/>
      </w:pPr>
      <w:r>
        <w:rPr>
          <w:rFonts w:ascii="Calibri" w:hAnsi="Calibri" w:eastAsia="Calibri"/>
          <w:b w:val="0"/>
          <w:i w:val="0"/>
          <w:color w:val="172026"/>
          <w:sz w:val="21"/>
        </w:rPr>
        <w:t>Los campos marcados (snapshot) son copias del estado al momento de la transacción (por ejemplo, product_name en OrderItem se guarda en el momento del checkout para que el detalle del pedido no cambie aunque después se modifique el producto).</w:t>
      </w:r>
    </w:p>
    <w:p>
      <w:pPr>
        <w:spacing w:before="360" w:after="120"/>
        <w:pBdr>
          <w:bottom w:val="single" w:sz="8" w:color="1F7A5C"/>
        </w:pBdr>
      </w:pPr>
      <w:r>
        <w:rPr>
          <w:rFonts w:ascii="Calibri" w:hAnsi="Calibri" w:eastAsia="Calibri"/>
          <w:b/>
          <w:i w:val="0"/>
          <w:color w:val="1F7A5C"/>
          <w:sz w:val="32"/>
        </w:rPr>
        <w:t>3. Diagrama de componentes — Arquitectura de microservicios</w:t>
      </w:r>
    </w:p>
    <w:p>
      <w:pPr>
        <w:spacing w:before="80" w:after="80"/>
        <w:jc w:val="both"/>
      </w:pPr>
      <w:r>
        <w:rPr>
          <w:rFonts w:ascii="Calibri" w:hAnsi="Calibri" w:eastAsia="Calibri"/>
          <w:b w:val="0"/>
          <w:i w:val="0"/>
          <w:color w:val="172026"/>
          <w:sz w:val="22"/>
        </w:rPr>
        <w:t>Este diagrama presenta los componentes lógicos del sistema y sus interfaces. La aplicación se compone de un frontend SPA en React, un API Gateway en Nginx que sirve como punto único de entrada, cinco microservicios FastAPI con responsabilidades bien definidas, infraestructura compartida (MySQL multi-schema, Redis, Mailhog, payment-mock) y herramientas auxiliares (phpMyAdmin).</w:t>
      </w:r>
    </w:p>
    <w:p>
      <w:pPr>
        <w:jc w:val="center"/>
      </w:pPr>
      <w:r>
        <w:drawing>
          <wp:inline xmlns:a="http://schemas.openxmlformats.org/drawingml/2006/main" xmlns:pic="http://schemas.openxmlformats.org/drawingml/2006/picture">
            <wp:extent cx="6120000" cy="4461561"/>
            <wp:docPr id="2" name="Picture 2"/>
            <wp:cNvGraphicFramePr>
              <a:graphicFrameLocks noChangeAspect="1"/>
            </wp:cNvGraphicFramePr>
            <a:graphic>
              <a:graphicData uri="http://schemas.openxmlformats.org/drawingml/2006/picture">
                <pic:pic>
                  <pic:nvPicPr>
                    <pic:cNvPr id="0" name="06_componentes.png"/>
                    <pic:cNvPicPr/>
                  </pic:nvPicPr>
                  <pic:blipFill>
                    <a:blip r:embed="rId10"/>
                    <a:stretch>
                      <a:fillRect/>
                    </a:stretch>
                  </pic:blipFill>
                  <pic:spPr>
                    <a:xfrm>
                      <a:off x="0" y="0"/>
                      <a:ext cx="6120000" cy="4461561"/>
                    </a:xfrm>
                    <a:prstGeom prst="rect"/>
                  </pic:spPr>
                </pic:pic>
              </a:graphicData>
            </a:graphic>
          </wp:inline>
        </w:drawing>
      </w:r>
    </w:p>
    <w:p>
      <w:pPr>
        <w:jc w:val="center"/>
      </w:pPr>
      <w:r>
        <w:rPr>
          <w:rFonts w:ascii="Calibri" w:hAnsi="Calibri" w:eastAsia="Calibri"/>
          <w:b w:val="0"/>
          <w:i/>
          <w:color w:val="4C5960"/>
          <w:sz w:val="19"/>
        </w:rPr>
        <w:t>Figura. Diagrama de componentes — arquitectura de microservicios.</w:t>
      </w:r>
    </w:p>
    <w:p>
      <w:pPr>
        <w:spacing w:before="240" w:after="80"/>
      </w:pPr>
      <w:r>
        <w:rPr>
          <w:rFonts w:ascii="Calibri" w:hAnsi="Calibri" w:eastAsia="Calibri"/>
          <w:b/>
          <w:i w:val="0"/>
          <w:color w:val="134E3A"/>
          <w:sz w:val="26"/>
        </w:rPr>
        <w:t>3.1 Componentes y responsabilidades</w:t>
      </w:r>
    </w:p>
    <w:tbl>
      <w:tblPr>
        <w:tblStyle w:val="LightGrid-Accent1"/>
        <w:tblW w:type="auto" w:w="0"/>
        <w:jc w:val="center"/>
        <w:tblLook w:firstColumn="1" w:firstRow="1" w:lastColumn="0" w:lastRow="0" w:noHBand="0" w:noVBand="1" w:val="04A0"/>
      </w:tblPr>
      <w:tblGrid>
        <w:gridCol w:w="3249"/>
        <w:gridCol w:w="3249"/>
        <w:gridCol w:w="3249"/>
      </w:tblGrid>
      <w:tr>
        <w:tc>
          <w:tcPr>
            <w:tcW w:type="dxa" w:w="2268"/>
            <w:shd w:fill="1F7A5C"/>
            <w:vAlign w:val="center"/>
          </w:tcPr>
          <w:p>
            <w:pPr>
              <w:jc w:val="center"/>
            </w:pPr>
            <w:r/>
            <w:r>
              <w:rPr>
                <w:rFonts w:ascii="Calibri" w:hAnsi="Calibri" w:eastAsia="Calibri"/>
                <w:b/>
                <w:i w:val="0"/>
                <w:color w:val="FFFFFF"/>
                <w:sz w:val="20"/>
              </w:rPr>
              <w:t>Componente</w:t>
            </w:r>
          </w:p>
        </w:tc>
        <w:tc>
          <w:tcPr>
            <w:tcW w:type="dxa" w:w="1984"/>
            <w:shd w:fill="1F7A5C"/>
            <w:vAlign w:val="center"/>
          </w:tcPr>
          <w:p>
            <w:pPr>
              <w:jc w:val="center"/>
            </w:pPr>
            <w:r/>
            <w:r>
              <w:rPr>
                <w:rFonts w:ascii="Calibri" w:hAnsi="Calibri" w:eastAsia="Calibri"/>
                <w:b/>
                <w:i w:val="0"/>
                <w:color w:val="FFFFFF"/>
                <w:sz w:val="20"/>
              </w:rPr>
              <w:t>Tecnología</w:t>
            </w:r>
          </w:p>
        </w:tc>
        <w:tc>
          <w:tcPr>
            <w:tcW w:type="dxa" w:w="5102"/>
            <w:shd w:fill="1F7A5C"/>
            <w:vAlign w:val="center"/>
          </w:tcPr>
          <w:p>
            <w:pPr>
              <w:jc w:val="center"/>
            </w:pPr>
            <w:r/>
            <w:r>
              <w:rPr>
                <w:rFonts w:ascii="Calibri" w:hAnsi="Calibri" w:eastAsia="Calibri"/>
                <w:b/>
                <w:i w:val="0"/>
                <w:color w:val="FFFFFF"/>
                <w:sz w:val="20"/>
              </w:rPr>
              <w:t>Responsabilidad</w:t>
            </w:r>
          </w:p>
        </w:tc>
      </w:tr>
      <w:tr>
        <w:tc>
          <w:tcPr>
            <w:tcW w:type="dxa" w:w="3249"/>
            <w:vAlign w:val="center"/>
          </w:tcPr>
          <w:p>
            <w:pPr>
              <w:spacing w:after="40"/>
            </w:pPr>
            <w:r/>
            <w:r>
              <w:rPr>
                <w:rFonts w:ascii="Calibri" w:hAnsi="Calibri" w:eastAsia="Calibri"/>
                <w:b w:val="0"/>
                <w:i w:val="0"/>
                <w:color w:val="172026"/>
                <w:sz w:val="20"/>
              </w:rPr>
              <w:t>Frontend SPA</w:t>
            </w:r>
          </w:p>
        </w:tc>
        <w:tc>
          <w:tcPr>
            <w:tcW w:type="dxa" w:w="3249"/>
            <w:vAlign w:val="center"/>
          </w:tcPr>
          <w:p>
            <w:pPr>
              <w:spacing w:after="40"/>
            </w:pPr>
            <w:r/>
            <w:r>
              <w:rPr>
                <w:rFonts w:ascii="Calibri" w:hAnsi="Calibri" w:eastAsia="Calibri"/>
                <w:b w:val="0"/>
                <w:i w:val="0"/>
                <w:color w:val="172026"/>
                <w:sz w:val="20"/>
              </w:rPr>
              <w:t>React + Vite</w:t>
            </w:r>
          </w:p>
        </w:tc>
        <w:tc>
          <w:tcPr>
            <w:tcW w:type="dxa" w:w="3249"/>
            <w:vAlign w:val="center"/>
          </w:tcPr>
          <w:p>
            <w:pPr>
              <w:spacing w:after="40"/>
            </w:pPr>
            <w:r/>
            <w:r>
              <w:rPr>
                <w:rFonts w:ascii="Calibri" w:hAnsi="Calibri" w:eastAsia="Calibri"/>
                <w:b w:val="0"/>
                <w:i w:val="0"/>
                <w:color w:val="172026"/>
                <w:sz w:val="20"/>
              </w:rPr>
              <w:t>Renderizado de la interfaz, gestión del state local, comunicación con el gateway via Axios.</w:t>
            </w:r>
          </w:p>
        </w:tc>
      </w:tr>
      <w:tr>
        <w:tc>
          <w:tcPr>
            <w:tcW w:type="dxa" w:w="3249"/>
            <w:vAlign w:val="center"/>
          </w:tcPr>
          <w:p>
            <w:pPr>
              <w:spacing w:after="40"/>
            </w:pPr>
            <w:r/>
            <w:r>
              <w:rPr>
                <w:rFonts w:ascii="Calibri" w:hAnsi="Calibri" w:eastAsia="Calibri"/>
                <w:b w:val="0"/>
                <w:i w:val="0"/>
                <w:color w:val="172026"/>
                <w:sz w:val="20"/>
              </w:rPr>
              <w:t>API Gateway</w:t>
            </w:r>
          </w:p>
        </w:tc>
        <w:tc>
          <w:tcPr>
            <w:tcW w:type="dxa" w:w="3249"/>
            <w:vAlign w:val="center"/>
          </w:tcPr>
          <w:p>
            <w:pPr>
              <w:spacing w:after="40"/>
            </w:pPr>
            <w:r/>
            <w:r>
              <w:rPr>
                <w:rFonts w:ascii="Calibri" w:hAnsi="Calibri" w:eastAsia="Calibri"/>
                <w:b w:val="0"/>
                <w:i w:val="0"/>
                <w:color w:val="172026"/>
                <w:sz w:val="20"/>
              </w:rPr>
              <w:t>Nginx</w:t>
            </w:r>
          </w:p>
        </w:tc>
        <w:tc>
          <w:tcPr>
            <w:tcW w:type="dxa" w:w="3249"/>
            <w:vAlign w:val="center"/>
          </w:tcPr>
          <w:p>
            <w:pPr>
              <w:spacing w:after="40"/>
            </w:pPr>
            <w:r/>
            <w:r>
              <w:rPr>
                <w:rFonts w:ascii="Calibri" w:hAnsi="Calibri" w:eastAsia="Calibri"/>
                <w:b w:val="0"/>
                <w:i w:val="0"/>
                <w:color w:val="172026"/>
                <w:sz w:val="20"/>
              </w:rPr>
              <w:t>Punto único de entrada, routing por path /api/&lt;svc&gt;, CORS, headers de seguridad, rate limit en /auth/login y correlation-id.</w:t>
            </w:r>
          </w:p>
        </w:tc>
      </w:tr>
      <w:tr>
        <w:tc>
          <w:tcPr>
            <w:tcW w:type="dxa" w:w="3249"/>
            <w:vAlign w:val="center"/>
          </w:tcPr>
          <w:p>
            <w:pPr>
              <w:spacing w:after="40"/>
            </w:pPr>
            <w:r/>
            <w:r>
              <w:rPr>
                <w:rFonts w:ascii="Calibri" w:hAnsi="Calibri" w:eastAsia="Calibri"/>
                <w:b w:val="0"/>
                <w:i w:val="0"/>
                <w:color w:val="172026"/>
                <w:sz w:val="20"/>
              </w:rPr>
              <w:t>Auth Service</w:t>
            </w:r>
          </w:p>
        </w:tc>
        <w:tc>
          <w:tcPr>
            <w:tcW w:type="dxa" w:w="3249"/>
            <w:vAlign w:val="center"/>
          </w:tcPr>
          <w:p>
            <w:pPr>
              <w:spacing w:after="40"/>
            </w:pPr>
            <w:r/>
            <w:r>
              <w:rPr>
                <w:rFonts w:ascii="Calibri" w:hAnsi="Calibri" w:eastAsia="Calibri"/>
                <w:b w:val="0"/>
                <w:i w:val="0"/>
                <w:color w:val="172026"/>
                <w:sz w:val="20"/>
              </w:rPr>
              <w:t>FastAPI :8001</w:t>
            </w:r>
          </w:p>
        </w:tc>
        <w:tc>
          <w:tcPr>
            <w:tcW w:type="dxa" w:w="3249"/>
            <w:vAlign w:val="center"/>
          </w:tcPr>
          <w:p>
            <w:pPr>
              <w:spacing w:after="40"/>
            </w:pPr>
            <w:r/>
            <w:r>
              <w:rPr>
                <w:rFonts w:ascii="Calibri" w:hAnsi="Calibri" w:eastAsia="Calibri"/>
                <w:b w:val="0"/>
                <w:i w:val="0"/>
                <w:color w:val="172026"/>
                <w:sz w:val="20"/>
              </w:rPr>
              <w:t>Registro, login, refresh y logout. Emite JWT HS256. Gestiona la bitácora de accesos.</w:t>
            </w:r>
          </w:p>
        </w:tc>
      </w:tr>
      <w:tr>
        <w:tc>
          <w:tcPr>
            <w:tcW w:type="dxa" w:w="3249"/>
            <w:vAlign w:val="center"/>
          </w:tcPr>
          <w:p>
            <w:pPr>
              <w:spacing w:after="40"/>
            </w:pPr>
            <w:r/>
            <w:r>
              <w:rPr>
                <w:rFonts w:ascii="Calibri" w:hAnsi="Calibri" w:eastAsia="Calibri"/>
                <w:b w:val="0"/>
                <w:i w:val="0"/>
                <w:color w:val="172026"/>
                <w:sz w:val="20"/>
              </w:rPr>
              <w:t>Catalog Service</w:t>
            </w:r>
          </w:p>
        </w:tc>
        <w:tc>
          <w:tcPr>
            <w:tcW w:type="dxa" w:w="3249"/>
            <w:vAlign w:val="center"/>
          </w:tcPr>
          <w:p>
            <w:pPr>
              <w:spacing w:after="40"/>
            </w:pPr>
            <w:r/>
            <w:r>
              <w:rPr>
                <w:rFonts w:ascii="Calibri" w:hAnsi="Calibri" w:eastAsia="Calibri"/>
                <w:b w:val="0"/>
                <w:i w:val="0"/>
                <w:color w:val="172026"/>
                <w:sz w:val="20"/>
              </w:rPr>
              <w:t>FastAPI :8002</w:t>
            </w:r>
          </w:p>
        </w:tc>
        <w:tc>
          <w:tcPr>
            <w:tcW w:type="dxa" w:w="3249"/>
            <w:vAlign w:val="center"/>
          </w:tcPr>
          <w:p>
            <w:pPr>
              <w:spacing w:after="40"/>
            </w:pPr>
            <w:r/>
            <w:r>
              <w:rPr>
                <w:rFonts w:ascii="Calibri" w:hAnsi="Calibri" w:eastAsia="Calibri"/>
                <w:b w:val="0"/>
                <w:i w:val="0"/>
                <w:color w:val="172026"/>
                <w:sz w:val="20"/>
              </w:rPr>
              <w:t>Productos, categorías, mensajes, configuración de tienda y rating. Cache-Aside con Redis.</w:t>
            </w:r>
          </w:p>
        </w:tc>
      </w:tr>
      <w:tr>
        <w:tc>
          <w:tcPr>
            <w:tcW w:type="dxa" w:w="3249"/>
            <w:vAlign w:val="center"/>
          </w:tcPr>
          <w:p>
            <w:pPr>
              <w:spacing w:after="40"/>
            </w:pPr>
            <w:r/>
            <w:r>
              <w:rPr>
                <w:rFonts w:ascii="Calibri" w:hAnsi="Calibri" w:eastAsia="Calibri"/>
                <w:b w:val="0"/>
                <w:i w:val="0"/>
                <w:color w:val="172026"/>
                <w:sz w:val="20"/>
              </w:rPr>
              <w:t>Inventory Service</w:t>
            </w:r>
          </w:p>
        </w:tc>
        <w:tc>
          <w:tcPr>
            <w:tcW w:type="dxa" w:w="3249"/>
            <w:vAlign w:val="center"/>
          </w:tcPr>
          <w:p>
            <w:pPr>
              <w:spacing w:after="40"/>
            </w:pPr>
            <w:r/>
            <w:r>
              <w:rPr>
                <w:rFonts w:ascii="Calibri" w:hAnsi="Calibri" w:eastAsia="Calibri"/>
                <w:b w:val="0"/>
                <w:i w:val="0"/>
                <w:color w:val="172026"/>
                <w:sz w:val="20"/>
              </w:rPr>
              <w:t>FastAPI :8003</w:t>
            </w:r>
          </w:p>
        </w:tc>
        <w:tc>
          <w:tcPr>
            <w:tcW w:type="dxa" w:w="3249"/>
            <w:vAlign w:val="center"/>
          </w:tcPr>
          <w:p>
            <w:pPr>
              <w:spacing w:after="40"/>
            </w:pPr>
            <w:r/>
            <w:r>
              <w:rPr>
                <w:rFonts w:ascii="Calibri" w:hAnsi="Calibri" w:eastAsia="Calibri"/>
                <w:b w:val="0"/>
                <w:i w:val="0"/>
                <w:color w:val="172026"/>
                <w:sz w:val="20"/>
              </w:rPr>
              <w:t>Variantes (SKU, color, talla), stock, reservas con lock distribuido, movimientos y alertas.</w:t>
            </w:r>
          </w:p>
        </w:tc>
      </w:tr>
      <w:tr>
        <w:tc>
          <w:tcPr>
            <w:tcW w:type="dxa" w:w="3249"/>
            <w:vAlign w:val="center"/>
          </w:tcPr>
          <w:p>
            <w:pPr>
              <w:spacing w:after="40"/>
            </w:pPr>
            <w:r/>
            <w:r>
              <w:rPr>
                <w:rFonts w:ascii="Calibri" w:hAnsi="Calibri" w:eastAsia="Calibri"/>
                <w:b w:val="0"/>
                <w:i w:val="0"/>
                <w:color w:val="172026"/>
                <w:sz w:val="20"/>
              </w:rPr>
              <w:t>Commerce Service</w:t>
            </w:r>
          </w:p>
        </w:tc>
        <w:tc>
          <w:tcPr>
            <w:tcW w:type="dxa" w:w="3249"/>
            <w:vAlign w:val="center"/>
          </w:tcPr>
          <w:p>
            <w:pPr>
              <w:spacing w:after="40"/>
            </w:pPr>
            <w:r/>
            <w:r>
              <w:rPr>
                <w:rFonts w:ascii="Calibri" w:hAnsi="Calibri" w:eastAsia="Calibri"/>
                <w:b w:val="0"/>
                <w:i w:val="0"/>
                <w:color w:val="172026"/>
                <w:sz w:val="20"/>
              </w:rPr>
              <w:t>FastAPI :8004</w:t>
            </w:r>
          </w:p>
        </w:tc>
        <w:tc>
          <w:tcPr>
            <w:tcW w:type="dxa" w:w="3249"/>
            <w:vAlign w:val="center"/>
          </w:tcPr>
          <w:p>
            <w:pPr>
              <w:spacing w:after="40"/>
            </w:pPr>
            <w:r/>
            <w:r>
              <w:rPr>
                <w:rFonts w:ascii="Calibri" w:hAnsi="Calibri" w:eastAsia="Calibri"/>
                <w:b w:val="0"/>
                <w:i w:val="0"/>
                <w:color w:val="172026"/>
                <w:sz w:val="20"/>
              </w:rPr>
              <w:t>Carrito, checkout (orquestador SAGA), pedidos, reseñas, notificaciones, finanzas y empleados.</w:t>
            </w:r>
          </w:p>
        </w:tc>
      </w:tr>
      <w:tr>
        <w:tc>
          <w:tcPr>
            <w:tcW w:type="dxa" w:w="3249"/>
            <w:vAlign w:val="center"/>
          </w:tcPr>
          <w:p>
            <w:pPr>
              <w:spacing w:after="40"/>
            </w:pPr>
            <w:r/>
            <w:r>
              <w:rPr>
                <w:rFonts w:ascii="Calibri" w:hAnsi="Calibri" w:eastAsia="Calibri"/>
                <w:b w:val="0"/>
                <w:i w:val="0"/>
                <w:color w:val="172026"/>
                <w:sz w:val="20"/>
              </w:rPr>
              <w:t>Payment Service</w:t>
            </w:r>
          </w:p>
        </w:tc>
        <w:tc>
          <w:tcPr>
            <w:tcW w:type="dxa" w:w="3249"/>
            <w:vAlign w:val="center"/>
          </w:tcPr>
          <w:p>
            <w:pPr>
              <w:spacing w:after="40"/>
            </w:pPr>
            <w:r/>
            <w:r>
              <w:rPr>
                <w:rFonts w:ascii="Calibri" w:hAnsi="Calibri" w:eastAsia="Calibri"/>
                <w:b w:val="0"/>
                <w:i w:val="0"/>
                <w:color w:val="172026"/>
                <w:sz w:val="20"/>
              </w:rPr>
              <w:t>FastAPI :8005</w:t>
            </w:r>
          </w:p>
        </w:tc>
        <w:tc>
          <w:tcPr>
            <w:tcW w:type="dxa" w:w="3249"/>
            <w:vAlign w:val="center"/>
          </w:tcPr>
          <w:p>
            <w:pPr>
              <w:spacing w:after="40"/>
            </w:pPr>
            <w:r/>
            <w:r>
              <w:rPr>
                <w:rFonts w:ascii="Calibri" w:hAnsi="Calibri" w:eastAsia="Calibri"/>
                <w:b w:val="0"/>
                <w:i w:val="0"/>
                <w:color w:val="172026"/>
                <w:sz w:val="20"/>
              </w:rPr>
              <w:t>Cobros contra la pasarela mock. Circuit Breaker (Redis), reintentos exponenciales, reconciler.</w:t>
            </w:r>
          </w:p>
        </w:tc>
      </w:tr>
      <w:tr>
        <w:tc>
          <w:tcPr>
            <w:tcW w:type="dxa" w:w="3249"/>
            <w:vAlign w:val="center"/>
          </w:tcPr>
          <w:p>
            <w:pPr>
              <w:spacing w:after="40"/>
            </w:pPr>
            <w:r/>
            <w:r>
              <w:rPr>
                <w:rFonts w:ascii="Calibri" w:hAnsi="Calibri" w:eastAsia="Calibri"/>
                <w:b w:val="0"/>
                <w:i w:val="0"/>
                <w:color w:val="172026"/>
                <w:sz w:val="20"/>
              </w:rPr>
              <w:t>Payment Mock</w:t>
            </w:r>
          </w:p>
        </w:tc>
        <w:tc>
          <w:tcPr>
            <w:tcW w:type="dxa" w:w="3249"/>
            <w:vAlign w:val="center"/>
          </w:tcPr>
          <w:p>
            <w:pPr>
              <w:spacing w:after="40"/>
            </w:pPr>
            <w:r/>
            <w:r>
              <w:rPr>
                <w:rFonts w:ascii="Calibri" w:hAnsi="Calibri" w:eastAsia="Calibri"/>
                <w:b w:val="0"/>
                <w:i w:val="0"/>
                <w:color w:val="172026"/>
                <w:sz w:val="20"/>
              </w:rPr>
              <w:t>FastAPI :9000</w:t>
            </w:r>
          </w:p>
        </w:tc>
        <w:tc>
          <w:tcPr>
            <w:tcW w:type="dxa" w:w="3249"/>
            <w:vAlign w:val="center"/>
          </w:tcPr>
          <w:p>
            <w:pPr>
              <w:spacing w:after="40"/>
            </w:pPr>
            <w:r/>
            <w:r>
              <w:rPr>
                <w:rFonts w:ascii="Calibri" w:hAnsi="Calibri" w:eastAsia="Calibri"/>
                <w:b w:val="0"/>
                <w:i w:val="0"/>
                <w:color w:val="172026"/>
                <w:sz w:val="20"/>
              </w:rPr>
              <w:t>Pasarela simulada con 4 escenarios: APPROVED, REJECTED, PENDING, FAILED (controlados por el monto).</w:t>
            </w:r>
          </w:p>
        </w:tc>
      </w:tr>
      <w:tr>
        <w:tc>
          <w:tcPr>
            <w:tcW w:type="dxa" w:w="3249"/>
            <w:vAlign w:val="center"/>
          </w:tcPr>
          <w:p>
            <w:pPr>
              <w:spacing w:after="40"/>
            </w:pPr>
            <w:r/>
            <w:r>
              <w:rPr>
                <w:rFonts w:ascii="Calibri" w:hAnsi="Calibri" w:eastAsia="Calibri"/>
                <w:b w:val="0"/>
                <w:i w:val="0"/>
                <w:color w:val="172026"/>
                <w:sz w:val="20"/>
              </w:rPr>
              <w:t>MySQL 8.4</w:t>
            </w:r>
          </w:p>
        </w:tc>
        <w:tc>
          <w:tcPr>
            <w:tcW w:type="dxa" w:w="3249"/>
            <w:vAlign w:val="center"/>
          </w:tcPr>
          <w:p>
            <w:pPr>
              <w:spacing w:after="40"/>
            </w:pPr>
            <w:r/>
            <w:r>
              <w:rPr>
                <w:rFonts w:ascii="Calibri" w:hAnsi="Calibri" w:eastAsia="Calibri"/>
                <w:b w:val="0"/>
                <w:i w:val="0"/>
                <w:color w:val="172026"/>
                <w:sz w:val="20"/>
              </w:rPr>
              <w:t>Base de datos relacional</w:t>
            </w:r>
          </w:p>
        </w:tc>
        <w:tc>
          <w:tcPr>
            <w:tcW w:type="dxa" w:w="3249"/>
            <w:vAlign w:val="center"/>
          </w:tcPr>
          <w:p>
            <w:pPr>
              <w:spacing w:after="40"/>
            </w:pPr>
            <w:r/>
            <w:r>
              <w:rPr>
                <w:rFonts w:ascii="Calibri" w:hAnsi="Calibri" w:eastAsia="Calibri"/>
                <w:b w:val="0"/>
                <w:i w:val="0"/>
                <w:color w:val="172026"/>
                <w:sz w:val="20"/>
              </w:rPr>
              <w:t>Persistencia. Esquemas aislados: auth_db, catalog_db, inventory_db, commerce_db, payments_db.</w:t>
            </w:r>
          </w:p>
        </w:tc>
      </w:tr>
      <w:tr>
        <w:tc>
          <w:tcPr>
            <w:tcW w:type="dxa" w:w="3249"/>
            <w:vAlign w:val="center"/>
          </w:tcPr>
          <w:p>
            <w:pPr>
              <w:spacing w:after="40"/>
            </w:pPr>
            <w:r/>
            <w:r>
              <w:rPr>
                <w:rFonts w:ascii="Calibri" w:hAnsi="Calibri" w:eastAsia="Calibri"/>
                <w:b w:val="0"/>
                <w:i w:val="0"/>
                <w:color w:val="172026"/>
                <w:sz w:val="20"/>
              </w:rPr>
              <w:t>Redis 7</w:t>
            </w:r>
          </w:p>
        </w:tc>
        <w:tc>
          <w:tcPr>
            <w:tcW w:type="dxa" w:w="3249"/>
            <w:vAlign w:val="center"/>
          </w:tcPr>
          <w:p>
            <w:pPr>
              <w:spacing w:after="40"/>
            </w:pPr>
            <w:r/>
            <w:r>
              <w:rPr>
                <w:rFonts w:ascii="Calibri" w:hAnsi="Calibri" w:eastAsia="Calibri"/>
                <w:b w:val="0"/>
                <w:i w:val="0"/>
                <w:color w:val="172026"/>
                <w:sz w:val="20"/>
              </w:rPr>
              <w:t>Cache + cluster state</w:t>
            </w:r>
          </w:p>
        </w:tc>
        <w:tc>
          <w:tcPr>
            <w:tcW w:type="dxa" w:w="3249"/>
            <w:vAlign w:val="center"/>
          </w:tcPr>
          <w:p>
            <w:pPr>
              <w:spacing w:after="40"/>
            </w:pPr>
            <w:r/>
            <w:r>
              <w:rPr>
                <w:rFonts w:ascii="Calibri" w:hAnsi="Calibri" w:eastAsia="Calibri"/>
                <w:b w:val="0"/>
                <w:i w:val="0"/>
                <w:color w:val="172026"/>
                <w:sz w:val="20"/>
              </w:rPr>
              <w:t>Cache-Aside del catálogo, locks distribuidos para Inventory y estado del Circuit Breaker.</w:t>
            </w:r>
          </w:p>
        </w:tc>
      </w:tr>
      <w:tr>
        <w:tc>
          <w:tcPr>
            <w:tcW w:type="dxa" w:w="3249"/>
            <w:vAlign w:val="center"/>
          </w:tcPr>
          <w:p>
            <w:pPr>
              <w:spacing w:after="40"/>
            </w:pPr>
            <w:r/>
            <w:r>
              <w:rPr>
                <w:rFonts w:ascii="Calibri" w:hAnsi="Calibri" w:eastAsia="Calibri"/>
                <w:b w:val="0"/>
                <w:i w:val="0"/>
                <w:color w:val="172026"/>
                <w:sz w:val="20"/>
              </w:rPr>
              <w:t>Mailhog</w:t>
            </w:r>
          </w:p>
        </w:tc>
        <w:tc>
          <w:tcPr>
            <w:tcW w:type="dxa" w:w="3249"/>
            <w:vAlign w:val="center"/>
          </w:tcPr>
          <w:p>
            <w:pPr>
              <w:spacing w:after="40"/>
            </w:pPr>
            <w:r/>
            <w:r>
              <w:rPr>
                <w:rFonts w:ascii="Calibri" w:hAnsi="Calibri" w:eastAsia="Calibri"/>
                <w:b w:val="0"/>
                <w:i w:val="0"/>
                <w:color w:val="172026"/>
                <w:sz w:val="20"/>
              </w:rPr>
              <w:t>SMTP local</w:t>
            </w:r>
          </w:p>
        </w:tc>
        <w:tc>
          <w:tcPr>
            <w:tcW w:type="dxa" w:w="3249"/>
            <w:vAlign w:val="center"/>
          </w:tcPr>
          <w:p>
            <w:pPr>
              <w:spacing w:after="40"/>
            </w:pPr>
            <w:r/>
            <w:r>
              <w:rPr>
                <w:rFonts w:ascii="Calibri" w:hAnsi="Calibri" w:eastAsia="Calibri"/>
                <w:b w:val="0"/>
                <w:i w:val="0"/>
                <w:color w:val="172026"/>
                <w:sz w:val="20"/>
              </w:rPr>
              <w:t>Servidor SMTP de pruebas para validar correos transaccionales (puerto 8025 para UI web).</w:t>
            </w:r>
          </w:p>
        </w:tc>
      </w:tr>
      <w:tr>
        <w:tc>
          <w:tcPr>
            <w:tcW w:type="dxa" w:w="3249"/>
            <w:vAlign w:val="center"/>
          </w:tcPr>
          <w:p>
            <w:pPr>
              <w:spacing w:after="40"/>
            </w:pPr>
            <w:r/>
            <w:r>
              <w:rPr>
                <w:rFonts w:ascii="Calibri" w:hAnsi="Calibri" w:eastAsia="Calibri"/>
                <w:b w:val="0"/>
                <w:i w:val="0"/>
                <w:color w:val="172026"/>
                <w:sz w:val="20"/>
              </w:rPr>
              <w:t>phpMyAdmin</w:t>
            </w:r>
          </w:p>
        </w:tc>
        <w:tc>
          <w:tcPr>
            <w:tcW w:type="dxa" w:w="3249"/>
            <w:vAlign w:val="center"/>
          </w:tcPr>
          <w:p>
            <w:pPr>
              <w:spacing w:after="40"/>
            </w:pPr>
            <w:r/>
            <w:r>
              <w:rPr>
                <w:rFonts w:ascii="Calibri" w:hAnsi="Calibri" w:eastAsia="Calibri"/>
                <w:b w:val="0"/>
                <w:i w:val="0"/>
                <w:color w:val="172026"/>
                <w:sz w:val="20"/>
              </w:rPr>
              <w:t>UI de inspección</w:t>
            </w:r>
          </w:p>
        </w:tc>
        <w:tc>
          <w:tcPr>
            <w:tcW w:type="dxa" w:w="3249"/>
            <w:vAlign w:val="center"/>
          </w:tcPr>
          <w:p>
            <w:pPr>
              <w:spacing w:after="40"/>
            </w:pPr>
            <w:r/>
            <w:r>
              <w:rPr>
                <w:rFonts w:ascii="Calibri" w:hAnsi="Calibri" w:eastAsia="Calibri"/>
                <w:b w:val="0"/>
                <w:i w:val="0"/>
                <w:color w:val="172026"/>
                <w:sz w:val="20"/>
              </w:rPr>
              <w:t>Acceso visual a los esquemas MySQL para debugging y administración manual.</w:t>
            </w:r>
          </w:p>
        </w:tc>
      </w:tr>
    </w:tbl>
    <w:p>
      <w:pPr>
        <w:spacing w:before="240" w:after="80"/>
      </w:pPr>
      <w:r>
        <w:rPr>
          <w:rFonts w:ascii="Calibri" w:hAnsi="Calibri" w:eastAsia="Calibri"/>
          <w:b/>
          <w:i w:val="0"/>
          <w:color w:val="134E3A"/>
          <w:sz w:val="26"/>
        </w:rPr>
        <w:t>3.2 Patrones arquitecturales aplicados</w:t>
      </w:r>
    </w:p>
    <w:tbl>
      <w:tblPr>
        <w:tblStyle w:val="LightGrid-Accent1"/>
        <w:tblW w:type="auto" w:w="0"/>
        <w:jc w:val="center"/>
        <w:tblLook w:firstColumn="1" w:firstRow="1" w:lastColumn="0" w:lastRow="0" w:noHBand="0" w:noVBand="1" w:val="04A0"/>
      </w:tblPr>
      <w:tblGrid>
        <w:gridCol w:w="4873"/>
        <w:gridCol w:w="4873"/>
      </w:tblGrid>
      <w:tr>
        <w:tc>
          <w:tcPr>
            <w:tcW w:type="dxa" w:w="2835"/>
            <w:shd w:fill="1F7A5C"/>
            <w:vAlign w:val="center"/>
          </w:tcPr>
          <w:p>
            <w:pPr>
              <w:jc w:val="center"/>
            </w:pPr>
            <w:r/>
            <w:r>
              <w:rPr>
                <w:rFonts w:ascii="Calibri" w:hAnsi="Calibri" w:eastAsia="Calibri"/>
                <w:b/>
                <w:i w:val="0"/>
                <w:color w:val="FFFFFF"/>
                <w:sz w:val="20"/>
              </w:rPr>
              <w:t>Patrón</w:t>
            </w:r>
          </w:p>
        </w:tc>
        <w:tc>
          <w:tcPr>
            <w:tcW w:type="dxa" w:w="6803"/>
            <w:shd w:fill="1F7A5C"/>
            <w:vAlign w:val="center"/>
          </w:tcPr>
          <w:p>
            <w:pPr>
              <w:jc w:val="center"/>
            </w:pPr>
            <w:r/>
            <w:r>
              <w:rPr>
                <w:rFonts w:ascii="Calibri" w:hAnsi="Calibri" w:eastAsia="Calibri"/>
                <w:b/>
                <w:i w:val="0"/>
                <w:color w:val="FFFFFF"/>
                <w:sz w:val="20"/>
              </w:rPr>
              <w:t>Aplicación</w:t>
            </w:r>
          </w:p>
        </w:tc>
      </w:tr>
      <w:tr>
        <w:tc>
          <w:tcPr>
            <w:tcW w:type="dxa" w:w="4873"/>
            <w:vAlign w:val="center"/>
          </w:tcPr>
          <w:p>
            <w:pPr>
              <w:spacing w:after="40"/>
            </w:pPr>
            <w:r/>
            <w:r>
              <w:rPr>
                <w:rFonts w:ascii="Calibri" w:hAnsi="Calibri" w:eastAsia="Calibri"/>
                <w:b w:val="0"/>
                <w:i w:val="0"/>
                <w:color w:val="172026"/>
                <w:sz w:val="20"/>
              </w:rPr>
              <w:t>API Gateway (Nginx)</w:t>
            </w:r>
          </w:p>
        </w:tc>
        <w:tc>
          <w:tcPr>
            <w:tcW w:type="dxa" w:w="4873"/>
            <w:vAlign w:val="center"/>
          </w:tcPr>
          <w:p>
            <w:pPr>
              <w:spacing w:after="40"/>
            </w:pPr>
            <w:r/>
            <w:r>
              <w:rPr>
                <w:rFonts w:ascii="Calibri" w:hAnsi="Calibri" w:eastAsia="Calibri"/>
                <w:b w:val="0"/>
                <w:i w:val="0"/>
                <w:color w:val="172026"/>
                <w:sz w:val="20"/>
              </w:rPr>
              <w:t>Routing por path, headers de seguridad, CORS, rate-limit, correlation-id.</w:t>
            </w:r>
          </w:p>
        </w:tc>
      </w:tr>
      <w:tr>
        <w:tc>
          <w:tcPr>
            <w:tcW w:type="dxa" w:w="4873"/>
            <w:vAlign w:val="center"/>
          </w:tcPr>
          <w:p>
            <w:pPr>
              <w:spacing w:after="40"/>
            </w:pPr>
            <w:r/>
            <w:r>
              <w:rPr>
                <w:rFonts w:ascii="Calibri" w:hAnsi="Calibri" w:eastAsia="Calibri"/>
                <w:b w:val="0"/>
                <w:i w:val="0"/>
                <w:color w:val="172026"/>
                <w:sz w:val="20"/>
              </w:rPr>
              <w:t>SSO con JWT compartido</w:t>
            </w:r>
          </w:p>
        </w:tc>
        <w:tc>
          <w:tcPr>
            <w:tcW w:type="dxa" w:w="4873"/>
            <w:vAlign w:val="center"/>
          </w:tcPr>
          <w:p>
            <w:pPr>
              <w:spacing w:after="40"/>
            </w:pPr>
            <w:r/>
            <w:r>
              <w:rPr>
                <w:rFonts w:ascii="Calibri" w:hAnsi="Calibri" w:eastAsia="Calibri"/>
                <w:b w:val="0"/>
                <w:i w:val="0"/>
                <w:color w:val="172026"/>
                <w:sz w:val="20"/>
              </w:rPr>
              <w:t>El secreto HS256 se comparte entre los servicios; ningún servicio llama de vuelta a Auth para validar tokens.</w:t>
            </w:r>
          </w:p>
        </w:tc>
      </w:tr>
      <w:tr>
        <w:tc>
          <w:tcPr>
            <w:tcW w:type="dxa" w:w="4873"/>
            <w:vAlign w:val="center"/>
          </w:tcPr>
          <w:p>
            <w:pPr>
              <w:spacing w:after="40"/>
            </w:pPr>
            <w:r/>
            <w:r>
              <w:rPr>
                <w:rFonts w:ascii="Calibri" w:hAnsi="Calibri" w:eastAsia="Calibri"/>
                <w:b w:val="0"/>
                <w:i w:val="0"/>
                <w:color w:val="172026"/>
                <w:sz w:val="20"/>
              </w:rPr>
              <w:t>Database per Service</w:t>
            </w:r>
          </w:p>
        </w:tc>
        <w:tc>
          <w:tcPr>
            <w:tcW w:type="dxa" w:w="4873"/>
            <w:vAlign w:val="center"/>
          </w:tcPr>
          <w:p>
            <w:pPr>
              <w:spacing w:after="40"/>
            </w:pPr>
            <w:r/>
            <w:r>
              <w:rPr>
                <w:rFonts w:ascii="Calibri" w:hAnsi="Calibri" w:eastAsia="Calibri"/>
                <w:b w:val="0"/>
                <w:i w:val="0"/>
                <w:color w:val="172026"/>
                <w:sz w:val="20"/>
              </w:rPr>
              <w:t>5 esquemas MySQL + un usuario por servicio con GRANT exclusivo. Aislamiento real validado por el Conformity Monkey.</w:t>
            </w:r>
          </w:p>
        </w:tc>
      </w:tr>
      <w:tr>
        <w:tc>
          <w:tcPr>
            <w:tcW w:type="dxa" w:w="4873"/>
            <w:vAlign w:val="center"/>
          </w:tcPr>
          <w:p>
            <w:pPr>
              <w:spacing w:after="40"/>
            </w:pPr>
            <w:r/>
            <w:r>
              <w:rPr>
                <w:rFonts w:ascii="Calibri" w:hAnsi="Calibri" w:eastAsia="Calibri"/>
                <w:b w:val="0"/>
                <w:i w:val="0"/>
                <w:color w:val="172026"/>
                <w:sz w:val="20"/>
              </w:rPr>
              <w:t>Cache-Aside</w:t>
            </w:r>
          </w:p>
        </w:tc>
        <w:tc>
          <w:tcPr>
            <w:tcW w:type="dxa" w:w="4873"/>
            <w:vAlign w:val="center"/>
          </w:tcPr>
          <w:p>
            <w:pPr>
              <w:spacing w:after="40"/>
            </w:pPr>
            <w:r/>
            <w:r>
              <w:rPr>
                <w:rFonts w:ascii="Calibri" w:hAnsi="Calibri" w:eastAsia="Calibri"/>
                <w:b w:val="0"/>
                <w:i w:val="0"/>
                <w:color w:val="172026"/>
                <w:sz w:val="20"/>
              </w:rPr>
              <w:t>Catalog cachea categorías, productos y settings en Redis con TTL 60–300 s. Si Redis cae, se sirve desde MySQL (modo degradado).</w:t>
            </w:r>
          </w:p>
        </w:tc>
      </w:tr>
      <w:tr>
        <w:tc>
          <w:tcPr>
            <w:tcW w:type="dxa" w:w="4873"/>
            <w:vAlign w:val="center"/>
          </w:tcPr>
          <w:p>
            <w:pPr>
              <w:spacing w:after="40"/>
            </w:pPr>
            <w:r/>
            <w:r>
              <w:rPr>
                <w:rFonts w:ascii="Calibri" w:hAnsi="Calibri" w:eastAsia="Calibri"/>
                <w:b w:val="0"/>
                <w:i w:val="0"/>
                <w:color w:val="172026"/>
                <w:sz w:val="20"/>
              </w:rPr>
              <w:t>Lock distribuido</w:t>
            </w:r>
          </w:p>
        </w:tc>
        <w:tc>
          <w:tcPr>
            <w:tcW w:type="dxa" w:w="4873"/>
            <w:vAlign w:val="center"/>
          </w:tcPr>
          <w:p>
            <w:pPr>
              <w:spacing w:after="40"/>
            </w:pPr>
            <w:r/>
            <w:r>
              <w:rPr>
                <w:rFonts w:ascii="Calibri" w:hAnsi="Calibri" w:eastAsia="Calibri"/>
                <w:b w:val="0"/>
                <w:i w:val="0"/>
                <w:color w:val="172026"/>
                <w:sz w:val="20"/>
              </w:rPr>
              <w:t>Inventory adquiere SET NX EX en Redis por variante + SELECT FOR UPDATE en MySQL antes de reservar. Liberación atómica via script Lua.</w:t>
            </w:r>
          </w:p>
        </w:tc>
      </w:tr>
      <w:tr>
        <w:tc>
          <w:tcPr>
            <w:tcW w:type="dxa" w:w="4873"/>
            <w:vAlign w:val="center"/>
          </w:tcPr>
          <w:p>
            <w:pPr>
              <w:spacing w:after="40"/>
            </w:pPr>
            <w:r/>
            <w:r>
              <w:rPr>
                <w:rFonts w:ascii="Calibri" w:hAnsi="Calibri" w:eastAsia="Calibri"/>
                <w:b w:val="0"/>
                <w:i w:val="0"/>
                <w:color w:val="172026"/>
                <w:sz w:val="20"/>
              </w:rPr>
              <w:t>SAGA orquestada síncrona</w:t>
            </w:r>
          </w:p>
        </w:tc>
        <w:tc>
          <w:tcPr>
            <w:tcW w:type="dxa" w:w="4873"/>
            <w:vAlign w:val="center"/>
          </w:tcPr>
          <w:p>
            <w:pPr>
              <w:spacing w:after="40"/>
            </w:pPr>
            <w:r/>
            <w:r>
              <w:rPr>
                <w:rFonts w:ascii="Calibri" w:hAnsi="Calibri" w:eastAsia="Calibri"/>
                <w:b w:val="0"/>
                <w:i w:val="0"/>
                <w:color w:val="172026"/>
                <w:sz w:val="20"/>
              </w:rPr>
              <w:t>Commerce coordina reserve → charge → confirm/release como transacción distribuida sin commit atómico.</w:t>
            </w:r>
          </w:p>
        </w:tc>
      </w:tr>
      <w:tr>
        <w:tc>
          <w:tcPr>
            <w:tcW w:type="dxa" w:w="4873"/>
            <w:vAlign w:val="center"/>
          </w:tcPr>
          <w:p>
            <w:pPr>
              <w:spacing w:after="40"/>
            </w:pPr>
            <w:r/>
            <w:r>
              <w:rPr>
                <w:rFonts w:ascii="Calibri" w:hAnsi="Calibri" w:eastAsia="Calibri"/>
                <w:b w:val="0"/>
                <w:i w:val="0"/>
                <w:color w:val="172026"/>
                <w:sz w:val="20"/>
              </w:rPr>
              <w:t>Circuit Breaker</w:t>
            </w:r>
          </w:p>
        </w:tc>
        <w:tc>
          <w:tcPr>
            <w:tcW w:type="dxa" w:w="4873"/>
            <w:vAlign w:val="center"/>
          </w:tcPr>
          <w:p>
            <w:pPr>
              <w:spacing w:after="40"/>
            </w:pPr>
            <w:r/>
            <w:r>
              <w:rPr>
                <w:rFonts w:ascii="Calibri" w:hAnsi="Calibri" w:eastAsia="Calibri"/>
                <w:b w:val="0"/>
                <w:i w:val="0"/>
                <w:color w:val="172026"/>
                <w:sz w:val="20"/>
              </w:rPr>
              <w:t>Payment Service rechaza requests cuando 5 fallos en 60 s; estado CLOSED/OPEN/HALF_OPEN persistido en Redis.</w:t>
            </w:r>
          </w:p>
        </w:tc>
      </w:tr>
      <w:tr>
        <w:tc>
          <w:tcPr>
            <w:tcW w:type="dxa" w:w="4873"/>
            <w:vAlign w:val="center"/>
          </w:tcPr>
          <w:p>
            <w:pPr>
              <w:spacing w:after="40"/>
            </w:pPr>
            <w:r/>
            <w:r>
              <w:rPr>
                <w:rFonts w:ascii="Calibri" w:hAnsi="Calibri" w:eastAsia="Calibri"/>
                <w:b w:val="0"/>
                <w:i w:val="0"/>
                <w:color w:val="172026"/>
                <w:sz w:val="20"/>
              </w:rPr>
              <w:t>Retry con backoff</w:t>
            </w:r>
          </w:p>
        </w:tc>
        <w:tc>
          <w:tcPr>
            <w:tcW w:type="dxa" w:w="4873"/>
            <w:vAlign w:val="center"/>
          </w:tcPr>
          <w:p>
            <w:pPr>
              <w:spacing w:after="40"/>
            </w:pPr>
            <w:r/>
            <w:r>
              <w:rPr>
                <w:rFonts w:ascii="Calibri" w:hAnsi="Calibri" w:eastAsia="Calibri"/>
                <w:b w:val="0"/>
                <w:i w:val="0"/>
                <w:color w:val="172026"/>
                <w:sz w:val="20"/>
              </w:rPr>
              <w:t>Payment reintenta errores transitorios (5xx, timeout) con 250 ms / 500 ms / 1 s. Distingue REJECTED (negocio) de errores de infraestructura.</w:t>
            </w:r>
          </w:p>
        </w:tc>
      </w:tr>
      <w:tr>
        <w:tc>
          <w:tcPr>
            <w:tcW w:type="dxa" w:w="4873"/>
            <w:vAlign w:val="center"/>
          </w:tcPr>
          <w:p>
            <w:pPr>
              <w:spacing w:after="40"/>
            </w:pPr>
            <w:r/>
            <w:r>
              <w:rPr>
                <w:rFonts w:ascii="Calibri" w:hAnsi="Calibri" w:eastAsia="Calibri"/>
                <w:b w:val="0"/>
                <w:i w:val="0"/>
                <w:color w:val="172026"/>
                <w:sz w:val="20"/>
              </w:rPr>
              <w:t>Worker reconciler</w:t>
            </w:r>
          </w:p>
        </w:tc>
        <w:tc>
          <w:tcPr>
            <w:tcW w:type="dxa" w:w="4873"/>
            <w:vAlign w:val="center"/>
          </w:tcPr>
          <w:p>
            <w:pPr>
              <w:spacing w:after="40"/>
            </w:pPr>
            <w:r/>
            <w:r>
              <w:rPr>
                <w:rFonts w:ascii="Calibri" w:hAnsi="Calibri" w:eastAsia="Calibri"/>
                <w:b w:val="0"/>
                <w:i w:val="0"/>
                <w:color w:val="172026"/>
                <w:sz w:val="20"/>
              </w:rPr>
              <w:t>Payment ejecuta una tarea asíncrona cada 5 min que reintenta los pagos en estado PENDING o FAILED.</w:t>
            </w:r>
          </w:p>
        </w:tc>
      </w:tr>
      <w:tr>
        <w:tc>
          <w:tcPr>
            <w:tcW w:type="dxa" w:w="4873"/>
            <w:vAlign w:val="center"/>
          </w:tcPr>
          <w:p>
            <w:pPr>
              <w:spacing w:after="40"/>
            </w:pPr>
            <w:r/>
            <w:r>
              <w:rPr>
                <w:rFonts w:ascii="Calibri" w:hAnsi="Calibri" w:eastAsia="Calibri"/>
                <w:b w:val="0"/>
                <w:i w:val="0"/>
                <w:color w:val="172026"/>
                <w:sz w:val="20"/>
              </w:rPr>
              <w:t>Idempotencia</w:t>
            </w:r>
          </w:p>
        </w:tc>
        <w:tc>
          <w:tcPr>
            <w:tcW w:type="dxa" w:w="4873"/>
            <w:vAlign w:val="center"/>
          </w:tcPr>
          <w:p>
            <w:pPr>
              <w:spacing w:after="40"/>
            </w:pPr>
            <w:r/>
            <w:r>
              <w:rPr>
                <w:rFonts w:ascii="Calibri" w:hAnsi="Calibri" w:eastAsia="Calibri"/>
                <w:b w:val="0"/>
                <w:i w:val="0"/>
                <w:color w:val="172026"/>
                <w:sz w:val="20"/>
              </w:rPr>
              <w:t>Commerce acepta Idempotency-Key en /checkout y evita doble cobro si el cliente reintenta con la misma clave.</w:t>
            </w:r>
          </w:p>
        </w:tc>
      </w:tr>
      <w:tr>
        <w:tc>
          <w:tcPr>
            <w:tcW w:type="dxa" w:w="4873"/>
            <w:vAlign w:val="center"/>
          </w:tcPr>
          <w:p>
            <w:pPr>
              <w:spacing w:after="40"/>
            </w:pPr>
            <w:r/>
            <w:r>
              <w:rPr>
                <w:rFonts w:ascii="Calibri" w:hAnsi="Calibri" w:eastAsia="Calibri"/>
                <w:b w:val="0"/>
                <w:i w:val="0"/>
                <w:color w:val="172026"/>
                <w:sz w:val="20"/>
              </w:rPr>
              <w:t>Bitácora con correlation-id</w:t>
            </w:r>
          </w:p>
        </w:tc>
        <w:tc>
          <w:tcPr>
            <w:tcW w:type="dxa" w:w="4873"/>
            <w:vAlign w:val="center"/>
          </w:tcPr>
          <w:p>
            <w:pPr>
              <w:spacing w:after="40"/>
            </w:pPr>
            <w:r/>
            <w:r>
              <w:rPr>
                <w:rFonts w:ascii="Calibri" w:hAnsi="Calibri" w:eastAsia="Calibri"/>
                <w:b w:val="0"/>
                <w:i w:val="0"/>
                <w:color w:val="172026"/>
                <w:sz w:val="20"/>
              </w:rPr>
              <w:t>El gateway inyecta X-Correlation-Id en cada request y los servicios lo propagan a logs y a las tablas de auditoría.</w:t>
            </w:r>
          </w:p>
        </w:tc>
      </w:tr>
    </w:tbl>
    <w:p>
      <w:pPr>
        <w:spacing w:before="360" w:after="120"/>
        <w:pBdr>
          <w:bottom w:val="single" w:sz="8" w:color="1F7A5C"/>
        </w:pBdr>
      </w:pPr>
      <w:r>
        <w:rPr>
          <w:rFonts w:ascii="Calibri" w:hAnsi="Calibri" w:eastAsia="Calibri"/>
          <w:b/>
          <w:i w:val="0"/>
          <w:color w:val="1F7A5C"/>
          <w:sz w:val="32"/>
        </w:rPr>
        <w:t>4. Diagrama de despliegue — Contenedores Docker</w:t>
      </w:r>
    </w:p>
    <w:p>
      <w:pPr>
        <w:spacing w:before="80" w:after="80"/>
        <w:jc w:val="both"/>
      </w:pPr>
      <w:r>
        <w:rPr>
          <w:rFonts w:ascii="Calibri" w:hAnsi="Calibri" w:eastAsia="Calibri"/>
          <w:b w:val="0"/>
          <w:i w:val="0"/>
          <w:color w:val="172026"/>
          <w:sz w:val="22"/>
        </w:rPr>
        <w:t>El diagrama de despliegue muestra cómo se distribuyen los componentes en el entorno local. Toda la aplicación corre sobre Docker Compose, organizada en 12 contenedores conectados a una red bridge llamada tienda_net. Cada contenedor expone su puerto al host para facilitar el debug, pero las comunicaciones internas entre servicios usan los nombres de contenedor en la red Docker.</w:t>
      </w:r>
    </w:p>
    <w:p>
      <w:pPr>
        <w:jc w:val="center"/>
      </w:pPr>
      <w:r>
        <w:drawing>
          <wp:inline xmlns:a="http://schemas.openxmlformats.org/drawingml/2006/main" xmlns:pic="http://schemas.openxmlformats.org/drawingml/2006/picture">
            <wp:extent cx="6120000" cy="4137084"/>
            <wp:docPr id="3" name="Picture 3"/>
            <wp:cNvGraphicFramePr>
              <a:graphicFrameLocks noChangeAspect="1"/>
            </wp:cNvGraphicFramePr>
            <a:graphic>
              <a:graphicData uri="http://schemas.openxmlformats.org/drawingml/2006/picture">
                <pic:pic>
                  <pic:nvPicPr>
                    <pic:cNvPr id="0" name="07_despliegue.png"/>
                    <pic:cNvPicPr/>
                  </pic:nvPicPr>
                  <pic:blipFill>
                    <a:blip r:embed="rId11"/>
                    <a:stretch>
                      <a:fillRect/>
                    </a:stretch>
                  </pic:blipFill>
                  <pic:spPr>
                    <a:xfrm>
                      <a:off x="0" y="0"/>
                      <a:ext cx="6120000" cy="4137084"/>
                    </a:xfrm>
                    <a:prstGeom prst="rect"/>
                  </pic:spPr>
                </pic:pic>
              </a:graphicData>
            </a:graphic>
          </wp:inline>
        </w:drawing>
      </w:r>
    </w:p>
    <w:p>
      <w:pPr>
        <w:jc w:val="center"/>
      </w:pPr>
      <w:r>
        <w:rPr>
          <w:rFonts w:ascii="Calibri" w:hAnsi="Calibri" w:eastAsia="Calibri"/>
          <w:b w:val="0"/>
          <w:i/>
          <w:color w:val="4C5960"/>
          <w:sz w:val="19"/>
        </w:rPr>
        <w:t>Figura. Diagrama de despliegue — contenedores Docker.</w:t>
      </w:r>
    </w:p>
    <w:p>
      <w:pPr>
        <w:spacing w:before="240" w:after="80"/>
      </w:pPr>
      <w:r>
        <w:rPr>
          <w:rFonts w:ascii="Calibri" w:hAnsi="Calibri" w:eastAsia="Calibri"/>
          <w:b/>
          <w:i w:val="0"/>
          <w:color w:val="134E3A"/>
          <w:sz w:val="26"/>
        </w:rPr>
        <w:t>4.1 Mapa de puertos</w:t>
      </w:r>
    </w:p>
    <w:tbl>
      <w:tblPr>
        <w:tblStyle w:val="LightGrid-Accent1"/>
        <w:tblW w:type="auto" w:w="0"/>
        <w:jc w:val="center"/>
        <w:tblLook w:firstColumn="1" w:firstRow="1" w:lastColumn="0" w:lastRow="0" w:noHBand="0" w:noVBand="1" w:val="04A0"/>
      </w:tblPr>
      <w:tblGrid>
        <w:gridCol w:w="3249"/>
        <w:gridCol w:w="3249"/>
        <w:gridCol w:w="3249"/>
      </w:tblGrid>
      <w:tr>
        <w:tc>
          <w:tcPr>
            <w:tcW w:type="dxa" w:w="2835"/>
            <w:shd w:fill="1F7A5C"/>
            <w:vAlign w:val="center"/>
          </w:tcPr>
          <w:p>
            <w:pPr>
              <w:jc w:val="center"/>
            </w:pPr>
            <w:r/>
            <w:r>
              <w:rPr>
                <w:rFonts w:ascii="Calibri" w:hAnsi="Calibri" w:eastAsia="Calibri"/>
                <w:b/>
                <w:i w:val="0"/>
                <w:color w:val="FFFFFF"/>
                <w:sz w:val="20"/>
              </w:rPr>
              <w:t>Servicio</w:t>
            </w:r>
          </w:p>
        </w:tc>
        <w:tc>
          <w:tcPr>
            <w:tcW w:type="dxa" w:w="1701"/>
            <w:shd w:fill="1F7A5C"/>
            <w:vAlign w:val="center"/>
          </w:tcPr>
          <w:p>
            <w:pPr>
              <w:jc w:val="center"/>
            </w:pPr>
            <w:r/>
            <w:r>
              <w:rPr>
                <w:rFonts w:ascii="Calibri" w:hAnsi="Calibri" w:eastAsia="Calibri"/>
                <w:b/>
                <w:i w:val="0"/>
                <w:color w:val="FFFFFF"/>
                <w:sz w:val="20"/>
              </w:rPr>
              <w:t>Puerto host</w:t>
            </w:r>
          </w:p>
        </w:tc>
        <w:tc>
          <w:tcPr>
            <w:tcW w:type="dxa" w:w="4535"/>
            <w:shd w:fill="1F7A5C"/>
            <w:vAlign w:val="center"/>
          </w:tcPr>
          <w:p>
            <w:pPr>
              <w:jc w:val="center"/>
            </w:pPr>
            <w:r/>
            <w:r>
              <w:rPr>
                <w:rFonts w:ascii="Calibri" w:hAnsi="Calibri" w:eastAsia="Calibri"/>
                <w:b/>
                <w:i w:val="0"/>
                <w:color w:val="FFFFFF"/>
                <w:sz w:val="20"/>
              </w:rPr>
              <w:t>URL local</w:t>
            </w:r>
          </w:p>
        </w:tc>
      </w:tr>
      <w:tr>
        <w:tc>
          <w:tcPr>
            <w:tcW w:type="dxa" w:w="3249"/>
            <w:vAlign w:val="center"/>
          </w:tcPr>
          <w:p>
            <w:pPr>
              <w:spacing w:after="40"/>
            </w:pPr>
            <w:r/>
            <w:r>
              <w:rPr>
                <w:rFonts w:ascii="Calibri" w:hAnsi="Calibri" w:eastAsia="Calibri"/>
                <w:b w:val="0"/>
                <w:i w:val="0"/>
                <w:color w:val="172026"/>
                <w:sz w:val="20"/>
              </w:rPr>
              <w:t>API Gateway (Nginx)</w:t>
            </w:r>
          </w:p>
        </w:tc>
        <w:tc>
          <w:tcPr>
            <w:tcW w:type="dxa" w:w="3249"/>
            <w:vAlign w:val="center"/>
          </w:tcPr>
          <w:p>
            <w:pPr>
              <w:spacing w:after="40"/>
            </w:pPr>
            <w:r/>
            <w:r>
              <w:rPr>
                <w:rFonts w:ascii="Calibri" w:hAnsi="Calibri" w:eastAsia="Calibri"/>
                <w:b w:val="0"/>
                <w:i w:val="0"/>
                <w:color w:val="172026"/>
                <w:sz w:val="20"/>
              </w:rPr>
              <w:t>80</w:t>
            </w:r>
          </w:p>
        </w:tc>
        <w:tc>
          <w:tcPr>
            <w:tcW w:type="dxa" w:w="3249"/>
            <w:vAlign w:val="center"/>
          </w:tcPr>
          <w:p>
            <w:pPr>
              <w:spacing w:after="40"/>
            </w:pPr>
            <w:r/>
            <w:r>
              <w:rPr>
                <w:rFonts w:ascii="Calibri" w:hAnsi="Calibri" w:eastAsia="Calibri"/>
                <w:b w:val="0"/>
                <w:i w:val="0"/>
                <w:color w:val="172026"/>
                <w:sz w:val="20"/>
              </w:rPr>
              <w:t>http://localhost</w:t>
            </w:r>
          </w:p>
        </w:tc>
      </w:tr>
      <w:tr>
        <w:tc>
          <w:tcPr>
            <w:tcW w:type="dxa" w:w="3249"/>
            <w:vAlign w:val="center"/>
          </w:tcPr>
          <w:p>
            <w:pPr>
              <w:spacing w:after="40"/>
            </w:pPr>
            <w:r/>
            <w:r>
              <w:rPr>
                <w:rFonts w:ascii="Calibri" w:hAnsi="Calibri" w:eastAsia="Calibri"/>
                <w:b w:val="0"/>
                <w:i w:val="0"/>
                <w:color w:val="172026"/>
                <w:sz w:val="20"/>
              </w:rPr>
              <w:t>Auth Service</w:t>
            </w:r>
          </w:p>
        </w:tc>
        <w:tc>
          <w:tcPr>
            <w:tcW w:type="dxa" w:w="3249"/>
            <w:vAlign w:val="center"/>
          </w:tcPr>
          <w:p>
            <w:pPr>
              <w:spacing w:after="40"/>
            </w:pPr>
            <w:r/>
            <w:r>
              <w:rPr>
                <w:rFonts w:ascii="Calibri" w:hAnsi="Calibri" w:eastAsia="Calibri"/>
                <w:b w:val="0"/>
                <w:i w:val="0"/>
                <w:color w:val="172026"/>
                <w:sz w:val="20"/>
              </w:rPr>
              <w:t>8001</w:t>
            </w:r>
          </w:p>
        </w:tc>
        <w:tc>
          <w:tcPr>
            <w:tcW w:type="dxa" w:w="3249"/>
            <w:vAlign w:val="center"/>
          </w:tcPr>
          <w:p>
            <w:pPr>
              <w:spacing w:after="40"/>
            </w:pPr>
            <w:r/>
            <w:r>
              <w:rPr>
                <w:rFonts w:ascii="Calibri" w:hAnsi="Calibri" w:eastAsia="Calibri"/>
                <w:b w:val="0"/>
                <w:i w:val="0"/>
                <w:color w:val="172026"/>
                <w:sz w:val="20"/>
              </w:rPr>
              <w:t>http://localhost:8001</w:t>
            </w:r>
          </w:p>
        </w:tc>
      </w:tr>
      <w:tr>
        <w:tc>
          <w:tcPr>
            <w:tcW w:type="dxa" w:w="3249"/>
            <w:vAlign w:val="center"/>
          </w:tcPr>
          <w:p>
            <w:pPr>
              <w:spacing w:after="40"/>
            </w:pPr>
            <w:r/>
            <w:r>
              <w:rPr>
                <w:rFonts w:ascii="Calibri" w:hAnsi="Calibri" w:eastAsia="Calibri"/>
                <w:b w:val="0"/>
                <w:i w:val="0"/>
                <w:color w:val="172026"/>
                <w:sz w:val="20"/>
              </w:rPr>
              <w:t>Catalog Service</w:t>
            </w:r>
          </w:p>
        </w:tc>
        <w:tc>
          <w:tcPr>
            <w:tcW w:type="dxa" w:w="3249"/>
            <w:vAlign w:val="center"/>
          </w:tcPr>
          <w:p>
            <w:pPr>
              <w:spacing w:after="40"/>
            </w:pPr>
            <w:r/>
            <w:r>
              <w:rPr>
                <w:rFonts w:ascii="Calibri" w:hAnsi="Calibri" w:eastAsia="Calibri"/>
                <w:b w:val="0"/>
                <w:i w:val="0"/>
                <w:color w:val="172026"/>
                <w:sz w:val="20"/>
              </w:rPr>
              <w:t>8002</w:t>
            </w:r>
          </w:p>
        </w:tc>
        <w:tc>
          <w:tcPr>
            <w:tcW w:type="dxa" w:w="3249"/>
            <w:vAlign w:val="center"/>
          </w:tcPr>
          <w:p>
            <w:pPr>
              <w:spacing w:after="40"/>
            </w:pPr>
            <w:r/>
            <w:r>
              <w:rPr>
                <w:rFonts w:ascii="Calibri" w:hAnsi="Calibri" w:eastAsia="Calibri"/>
                <w:b w:val="0"/>
                <w:i w:val="0"/>
                <w:color w:val="172026"/>
                <w:sz w:val="20"/>
              </w:rPr>
              <w:t>http://localhost:8002</w:t>
            </w:r>
          </w:p>
        </w:tc>
      </w:tr>
      <w:tr>
        <w:tc>
          <w:tcPr>
            <w:tcW w:type="dxa" w:w="3249"/>
            <w:vAlign w:val="center"/>
          </w:tcPr>
          <w:p>
            <w:pPr>
              <w:spacing w:after="40"/>
            </w:pPr>
            <w:r/>
            <w:r>
              <w:rPr>
                <w:rFonts w:ascii="Calibri" w:hAnsi="Calibri" w:eastAsia="Calibri"/>
                <w:b w:val="0"/>
                <w:i w:val="0"/>
                <w:color w:val="172026"/>
                <w:sz w:val="20"/>
              </w:rPr>
              <w:t>Inventory Service</w:t>
            </w:r>
          </w:p>
        </w:tc>
        <w:tc>
          <w:tcPr>
            <w:tcW w:type="dxa" w:w="3249"/>
            <w:vAlign w:val="center"/>
          </w:tcPr>
          <w:p>
            <w:pPr>
              <w:spacing w:after="40"/>
            </w:pPr>
            <w:r/>
            <w:r>
              <w:rPr>
                <w:rFonts w:ascii="Calibri" w:hAnsi="Calibri" w:eastAsia="Calibri"/>
                <w:b w:val="0"/>
                <w:i w:val="0"/>
                <w:color w:val="172026"/>
                <w:sz w:val="20"/>
              </w:rPr>
              <w:t>8003</w:t>
            </w:r>
          </w:p>
        </w:tc>
        <w:tc>
          <w:tcPr>
            <w:tcW w:type="dxa" w:w="3249"/>
            <w:vAlign w:val="center"/>
          </w:tcPr>
          <w:p>
            <w:pPr>
              <w:spacing w:after="40"/>
            </w:pPr>
            <w:r/>
            <w:r>
              <w:rPr>
                <w:rFonts w:ascii="Calibri" w:hAnsi="Calibri" w:eastAsia="Calibri"/>
                <w:b w:val="0"/>
                <w:i w:val="0"/>
                <w:color w:val="172026"/>
                <w:sz w:val="20"/>
              </w:rPr>
              <w:t>http://localhost:8003</w:t>
            </w:r>
          </w:p>
        </w:tc>
      </w:tr>
      <w:tr>
        <w:tc>
          <w:tcPr>
            <w:tcW w:type="dxa" w:w="3249"/>
            <w:vAlign w:val="center"/>
          </w:tcPr>
          <w:p>
            <w:pPr>
              <w:spacing w:after="40"/>
            </w:pPr>
            <w:r/>
            <w:r>
              <w:rPr>
                <w:rFonts w:ascii="Calibri" w:hAnsi="Calibri" w:eastAsia="Calibri"/>
                <w:b w:val="0"/>
                <w:i w:val="0"/>
                <w:color w:val="172026"/>
                <w:sz w:val="20"/>
              </w:rPr>
              <w:t>Commerce Service</w:t>
            </w:r>
          </w:p>
        </w:tc>
        <w:tc>
          <w:tcPr>
            <w:tcW w:type="dxa" w:w="3249"/>
            <w:vAlign w:val="center"/>
          </w:tcPr>
          <w:p>
            <w:pPr>
              <w:spacing w:after="40"/>
            </w:pPr>
            <w:r/>
            <w:r>
              <w:rPr>
                <w:rFonts w:ascii="Calibri" w:hAnsi="Calibri" w:eastAsia="Calibri"/>
                <w:b w:val="0"/>
                <w:i w:val="0"/>
                <w:color w:val="172026"/>
                <w:sz w:val="20"/>
              </w:rPr>
              <w:t>8004</w:t>
            </w:r>
          </w:p>
        </w:tc>
        <w:tc>
          <w:tcPr>
            <w:tcW w:type="dxa" w:w="3249"/>
            <w:vAlign w:val="center"/>
          </w:tcPr>
          <w:p>
            <w:pPr>
              <w:spacing w:after="40"/>
            </w:pPr>
            <w:r/>
            <w:r>
              <w:rPr>
                <w:rFonts w:ascii="Calibri" w:hAnsi="Calibri" w:eastAsia="Calibri"/>
                <w:b w:val="0"/>
                <w:i w:val="0"/>
                <w:color w:val="172026"/>
                <w:sz w:val="20"/>
              </w:rPr>
              <w:t>http://localhost:8004</w:t>
            </w:r>
          </w:p>
        </w:tc>
      </w:tr>
      <w:tr>
        <w:tc>
          <w:tcPr>
            <w:tcW w:type="dxa" w:w="3249"/>
            <w:vAlign w:val="center"/>
          </w:tcPr>
          <w:p>
            <w:pPr>
              <w:spacing w:after="40"/>
            </w:pPr>
            <w:r/>
            <w:r>
              <w:rPr>
                <w:rFonts w:ascii="Calibri" w:hAnsi="Calibri" w:eastAsia="Calibri"/>
                <w:b w:val="0"/>
                <w:i w:val="0"/>
                <w:color w:val="172026"/>
                <w:sz w:val="20"/>
              </w:rPr>
              <w:t>Payment Service</w:t>
            </w:r>
          </w:p>
        </w:tc>
        <w:tc>
          <w:tcPr>
            <w:tcW w:type="dxa" w:w="3249"/>
            <w:vAlign w:val="center"/>
          </w:tcPr>
          <w:p>
            <w:pPr>
              <w:spacing w:after="40"/>
            </w:pPr>
            <w:r/>
            <w:r>
              <w:rPr>
                <w:rFonts w:ascii="Calibri" w:hAnsi="Calibri" w:eastAsia="Calibri"/>
                <w:b w:val="0"/>
                <w:i w:val="0"/>
                <w:color w:val="172026"/>
                <w:sz w:val="20"/>
              </w:rPr>
              <w:t>8005</w:t>
            </w:r>
          </w:p>
        </w:tc>
        <w:tc>
          <w:tcPr>
            <w:tcW w:type="dxa" w:w="3249"/>
            <w:vAlign w:val="center"/>
          </w:tcPr>
          <w:p>
            <w:pPr>
              <w:spacing w:after="40"/>
            </w:pPr>
            <w:r/>
            <w:r>
              <w:rPr>
                <w:rFonts w:ascii="Calibri" w:hAnsi="Calibri" w:eastAsia="Calibri"/>
                <w:b w:val="0"/>
                <w:i w:val="0"/>
                <w:color w:val="172026"/>
                <w:sz w:val="20"/>
              </w:rPr>
              <w:t>http://localhost:8005</w:t>
            </w:r>
          </w:p>
        </w:tc>
      </w:tr>
      <w:tr>
        <w:tc>
          <w:tcPr>
            <w:tcW w:type="dxa" w:w="3249"/>
            <w:vAlign w:val="center"/>
          </w:tcPr>
          <w:p>
            <w:pPr>
              <w:spacing w:after="40"/>
            </w:pPr>
            <w:r/>
            <w:r>
              <w:rPr>
                <w:rFonts w:ascii="Calibri" w:hAnsi="Calibri" w:eastAsia="Calibri"/>
                <w:b w:val="0"/>
                <w:i w:val="0"/>
                <w:color w:val="172026"/>
                <w:sz w:val="20"/>
              </w:rPr>
              <w:t>Payment Mock</w:t>
            </w:r>
          </w:p>
        </w:tc>
        <w:tc>
          <w:tcPr>
            <w:tcW w:type="dxa" w:w="3249"/>
            <w:vAlign w:val="center"/>
          </w:tcPr>
          <w:p>
            <w:pPr>
              <w:spacing w:after="40"/>
            </w:pPr>
            <w:r/>
            <w:r>
              <w:rPr>
                <w:rFonts w:ascii="Calibri" w:hAnsi="Calibri" w:eastAsia="Calibri"/>
                <w:b w:val="0"/>
                <w:i w:val="0"/>
                <w:color w:val="172026"/>
                <w:sz w:val="20"/>
              </w:rPr>
              <w:t>9000</w:t>
            </w:r>
          </w:p>
        </w:tc>
        <w:tc>
          <w:tcPr>
            <w:tcW w:type="dxa" w:w="3249"/>
            <w:vAlign w:val="center"/>
          </w:tcPr>
          <w:p>
            <w:pPr>
              <w:spacing w:after="40"/>
            </w:pPr>
            <w:r/>
            <w:r>
              <w:rPr>
                <w:rFonts w:ascii="Calibri" w:hAnsi="Calibri" w:eastAsia="Calibri"/>
                <w:b w:val="0"/>
                <w:i w:val="0"/>
                <w:color w:val="172026"/>
                <w:sz w:val="20"/>
              </w:rPr>
              <w:t>http://localhost:9000</w:t>
            </w:r>
          </w:p>
        </w:tc>
      </w:tr>
      <w:tr>
        <w:tc>
          <w:tcPr>
            <w:tcW w:type="dxa" w:w="3249"/>
            <w:vAlign w:val="center"/>
          </w:tcPr>
          <w:p>
            <w:pPr>
              <w:spacing w:after="40"/>
            </w:pPr>
            <w:r/>
            <w:r>
              <w:rPr>
                <w:rFonts w:ascii="Calibri" w:hAnsi="Calibri" w:eastAsia="Calibri"/>
                <w:b w:val="0"/>
                <w:i w:val="0"/>
                <w:color w:val="172026"/>
                <w:sz w:val="20"/>
              </w:rPr>
              <w:t>MySQL</w:t>
            </w:r>
          </w:p>
        </w:tc>
        <w:tc>
          <w:tcPr>
            <w:tcW w:type="dxa" w:w="3249"/>
            <w:vAlign w:val="center"/>
          </w:tcPr>
          <w:p>
            <w:pPr>
              <w:spacing w:after="40"/>
            </w:pPr>
            <w:r/>
            <w:r>
              <w:rPr>
                <w:rFonts w:ascii="Calibri" w:hAnsi="Calibri" w:eastAsia="Calibri"/>
                <w:b w:val="0"/>
                <w:i w:val="0"/>
                <w:color w:val="172026"/>
                <w:sz w:val="20"/>
              </w:rPr>
              <w:t>3306</w:t>
            </w:r>
          </w:p>
        </w:tc>
        <w:tc>
          <w:tcPr>
            <w:tcW w:type="dxa" w:w="3249"/>
            <w:vAlign w:val="center"/>
          </w:tcPr>
          <w:p>
            <w:pPr>
              <w:spacing w:after="40"/>
            </w:pPr>
            <w:r/>
            <w:r>
              <w:rPr>
                <w:rFonts w:ascii="Calibri" w:hAnsi="Calibri" w:eastAsia="Calibri"/>
                <w:b w:val="0"/>
                <w:i w:val="0"/>
                <w:color w:val="172026"/>
                <w:sz w:val="20"/>
              </w:rPr>
              <w:t>mysql://localhost:3306</w:t>
            </w:r>
          </w:p>
        </w:tc>
      </w:tr>
      <w:tr>
        <w:tc>
          <w:tcPr>
            <w:tcW w:type="dxa" w:w="3249"/>
            <w:vAlign w:val="center"/>
          </w:tcPr>
          <w:p>
            <w:pPr>
              <w:spacing w:after="40"/>
            </w:pPr>
            <w:r/>
            <w:r>
              <w:rPr>
                <w:rFonts w:ascii="Calibri" w:hAnsi="Calibri" w:eastAsia="Calibri"/>
                <w:b w:val="0"/>
                <w:i w:val="0"/>
                <w:color w:val="172026"/>
                <w:sz w:val="20"/>
              </w:rPr>
              <w:t>phpMyAdmin</w:t>
            </w:r>
          </w:p>
        </w:tc>
        <w:tc>
          <w:tcPr>
            <w:tcW w:type="dxa" w:w="3249"/>
            <w:vAlign w:val="center"/>
          </w:tcPr>
          <w:p>
            <w:pPr>
              <w:spacing w:after="40"/>
            </w:pPr>
            <w:r/>
            <w:r>
              <w:rPr>
                <w:rFonts w:ascii="Calibri" w:hAnsi="Calibri" w:eastAsia="Calibri"/>
                <w:b w:val="0"/>
                <w:i w:val="0"/>
                <w:color w:val="172026"/>
                <w:sz w:val="20"/>
              </w:rPr>
              <w:t>8080</w:t>
            </w:r>
          </w:p>
        </w:tc>
        <w:tc>
          <w:tcPr>
            <w:tcW w:type="dxa" w:w="3249"/>
            <w:vAlign w:val="center"/>
          </w:tcPr>
          <w:p>
            <w:pPr>
              <w:spacing w:after="40"/>
            </w:pPr>
            <w:r/>
            <w:r>
              <w:rPr>
                <w:rFonts w:ascii="Calibri" w:hAnsi="Calibri" w:eastAsia="Calibri"/>
                <w:b w:val="0"/>
                <w:i w:val="0"/>
                <w:color w:val="172026"/>
                <w:sz w:val="20"/>
              </w:rPr>
              <w:t>http://localhost:8080</w:t>
            </w:r>
          </w:p>
        </w:tc>
      </w:tr>
      <w:tr>
        <w:tc>
          <w:tcPr>
            <w:tcW w:type="dxa" w:w="3249"/>
            <w:vAlign w:val="center"/>
          </w:tcPr>
          <w:p>
            <w:pPr>
              <w:spacing w:after="40"/>
            </w:pPr>
            <w:r/>
            <w:r>
              <w:rPr>
                <w:rFonts w:ascii="Calibri" w:hAnsi="Calibri" w:eastAsia="Calibri"/>
                <w:b w:val="0"/>
                <w:i w:val="0"/>
                <w:color w:val="172026"/>
                <w:sz w:val="20"/>
              </w:rPr>
              <w:t>Redis</w:t>
            </w:r>
          </w:p>
        </w:tc>
        <w:tc>
          <w:tcPr>
            <w:tcW w:type="dxa" w:w="3249"/>
            <w:vAlign w:val="center"/>
          </w:tcPr>
          <w:p>
            <w:pPr>
              <w:spacing w:after="40"/>
            </w:pPr>
            <w:r/>
            <w:r>
              <w:rPr>
                <w:rFonts w:ascii="Calibri" w:hAnsi="Calibri" w:eastAsia="Calibri"/>
                <w:b w:val="0"/>
                <w:i w:val="0"/>
                <w:color w:val="172026"/>
                <w:sz w:val="20"/>
              </w:rPr>
              <w:t>6379</w:t>
            </w:r>
          </w:p>
        </w:tc>
        <w:tc>
          <w:tcPr>
            <w:tcW w:type="dxa" w:w="3249"/>
            <w:vAlign w:val="center"/>
          </w:tcPr>
          <w:p>
            <w:pPr>
              <w:spacing w:after="40"/>
            </w:pPr>
            <w:r/>
            <w:r>
              <w:rPr>
                <w:rFonts w:ascii="Calibri" w:hAnsi="Calibri" w:eastAsia="Calibri"/>
                <w:b w:val="0"/>
                <w:i w:val="0"/>
                <w:color w:val="172026"/>
                <w:sz w:val="20"/>
              </w:rPr>
              <w:t>redis://localhost:6379</w:t>
            </w:r>
          </w:p>
        </w:tc>
      </w:tr>
      <w:tr>
        <w:tc>
          <w:tcPr>
            <w:tcW w:type="dxa" w:w="3249"/>
            <w:vAlign w:val="center"/>
          </w:tcPr>
          <w:p>
            <w:pPr>
              <w:spacing w:after="40"/>
            </w:pPr>
            <w:r/>
            <w:r>
              <w:rPr>
                <w:rFonts w:ascii="Calibri" w:hAnsi="Calibri" w:eastAsia="Calibri"/>
                <w:b w:val="0"/>
                <w:i w:val="0"/>
                <w:color w:val="172026"/>
                <w:sz w:val="20"/>
              </w:rPr>
              <w:t>Mailhog (SMTP)</w:t>
            </w:r>
          </w:p>
        </w:tc>
        <w:tc>
          <w:tcPr>
            <w:tcW w:type="dxa" w:w="3249"/>
            <w:vAlign w:val="center"/>
          </w:tcPr>
          <w:p>
            <w:pPr>
              <w:spacing w:after="40"/>
            </w:pPr>
            <w:r/>
            <w:r>
              <w:rPr>
                <w:rFonts w:ascii="Calibri" w:hAnsi="Calibri" w:eastAsia="Calibri"/>
                <w:b w:val="0"/>
                <w:i w:val="0"/>
                <w:color w:val="172026"/>
                <w:sz w:val="20"/>
              </w:rPr>
              <w:t>1025</w:t>
            </w:r>
          </w:p>
        </w:tc>
        <w:tc>
          <w:tcPr>
            <w:tcW w:type="dxa" w:w="3249"/>
            <w:vAlign w:val="center"/>
          </w:tcPr>
          <w:p>
            <w:pPr>
              <w:spacing w:after="40"/>
            </w:pPr>
            <w:r/>
            <w:r>
              <w:rPr>
                <w:rFonts w:ascii="Calibri" w:hAnsi="Calibri" w:eastAsia="Calibri"/>
                <w:b w:val="0"/>
                <w:i w:val="0"/>
                <w:color w:val="172026"/>
                <w:sz w:val="20"/>
              </w:rPr>
              <w:t>smtp://localhost:1025</w:t>
            </w:r>
          </w:p>
        </w:tc>
      </w:tr>
      <w:tr>
        <w:tc>
          <w:tcPr>
            <w:tcW w:type="dxa" w:w="3249"/>
            <w:vAlign w:val="center"/>
          </w:tcPr>
          <w:p>
            <w:pPr>
              <w:spacing w:after="40"/>
            </w:pPr>
            <w:r/>
            <w:r>
              <w:rPr>
                <w:rFonts w:ascii="Calibri" w:hAnsi="Calibri" w:eastAsia="Calibri"/>
                <w:b w:val="0"/>
                <w:i w:val="0"/>
                <w:color w:val="172026"/>
                <w:sz w:val="20"/>
              </w:rPr>
              <w:t>Mailhog (UI web)</w:t>
            </w:r>
          </w:p>
        </w:tc>
        <w:tc>
          <w:tcPr>
            <w:tcW w:type="dxa" w:w="3249"/>
            <w:vAlign w:val="center"/>
          </w:tcPr>
          <w:p>
            <w:pPr>
              <w:spacing w:after="40"/>
            </w:pPr>
            <w:r/>
            <w:r>
              <w:rPr>
                <w:rFonts w:ascii="Calibri" w:hAnsi="Calibri" w:eastAsia="Calibri"/>
                <w:b w:val="0"/>
                <w:i w:val="0"/>
                <w:color w:val="172026"/>
                <w:sz w:val="20"/>
              </w:rPr>
              <w:t>8025</w:t>
            </w:r>
          </w:p>
        </w:tc>
        <w:tc>
          <w:tcPr>
            <w:tcW w:type="dxa" w:w="3249"/>
            <w:vAlign w:val="center"/>
          </w:tcPr>
          <w:p>
            <w:pPr>
              <w:spacing w:after="40"/>
            </w:pPr>
            <w:r/>
            <w:r>
              <w:rPr>
                <w:rFonts w:ascii="Calibri" w:hAnsi="Calibri" w:eastAsia="Calibri"/>
                <w:b w:val="0"/>
                <w:i w:val="0"/>
                <w:color w:val="172026"/>
                <w:sz w:val="20"/>
              </w:rPr>
              <w:t>http://localhost:8025</w:t>
            </w:r>
          </w:p>
        </w:tc>
      </w:tr>
      <w:tr>
        <w:tc>
          <w:tcPr>
            <w:tcW w:type="dxa" w:w="3249"/>
            <w:vAlign w:val="center"/>
          </w:tcPr>
          <w:p>
            <w:pPr>
              <w:spacing w:after="40"/>
            </w:pPr>
            <w:r/>
            <w:r>
              <w:rPr>
                <w:rFonts w:ascii="Calibri" w:hAnsi="Calibri" w:eastAsia="Calibri"/>
                <w:b w:val="0"/>
                <w:i w:val="0"/>
                <w:color w:val="172026"/>
                <w:sz w:val="20"/>
              </w:rPr>
              <w:t>Frontend Vite dev</w:t>
            </w:r>
          </w:p>
        </w:tc>
        <w:tc>
          <w:tcPr>
            <w:tcW w:type="dxa" w:w="3249"/>
            <w:vAlign w:val="center"/>
          </w:tcPr>
          <w:p>
            <w:pPr>
              <w:spacing w:after="40"/>
            </w:pPr>
            <w:r/>
            <w:r>
              <w:rPr>
                <w:rFonts w:ascii="Calibri" w:hAnsi="Calibri" w:eastAsia="Calibri"/>
                <w:b w:val="0"/>
                <w:i w:val="0"/>
                <w:color w:val="172026"/>
                <w:sz w:val="20"/>
              </w:rPr>
              <w:t>5173</w:t>
            </w:r>
          </w:p>
        </w:tc>
        <w:tc>
          <w:tcPr>
            <w:tcW w:type="dxa" w:w="3249"/>
            <w:vAlign w:val="center"/>
          </w:tcPr>
          <w:p>
            <w:pPr>
              <w:spacing w:after="40"/>
            </w:pPr>
            <w:r/>
            <w:r>
              <w:rPr>
                <w:rFonts w:ascii="Calibri" w:hAnsi="Calibri" w:eastAsia="Calibri"/>
                <w:b w:val="0"/>
                <w:i w:val="0"/>
                <w:color w:val="172026"/>
                <w:sz w:val="20"/>
              </w:rPr>
              <w:t>http://localhost:5173</w:t>
            </w:r>
          </w:p>
        </w:tc>
      </w:tr>
    </w:tbl>
    <w:p>
      <w:pPr>
        <w:spacing w:before="240" w:after="80"/>
      </w:pPr>
      <w:r>
        <w:rPr>
          <w:rFonts w:ascii="Calibri" w:hAnsi="Calibri" w:eastAsia="Calibri"/>
          <w:b/>
          <w:i w:val="0"/>
          <w:color w:val="134E3A"/>
          <w:sz w:val="26"/>
        </w:rPr>
        <w:t>4.2 Healthchecks y observabilidad</w:t>
      </w:r>
    </w:p>
    <w:p>
      <w:pPr>
        <w:spacing w:before="80" w:after="80"/>
        <w:jc w:val="both"/>
      </w:pPr>
      <w:r>
        <w:rPr>
          <w:rFonts w:ascii="Calibri" w:hAnsi="Calibri" w:eastAsia="Calibri"/>
          <w:b w:val="0"/>
          <w:i w:val="0"/>
          <w:color w:val="172026"/>
          <w:sz w:val="22"/>
        </w:rPr>
        <w:t>Cada microservicio expone GET /health, que verifica la conectividad con sus dependencias críticas (MySQL y, cuando aplica, Redis o la pasarela mock). El API Gateway re-expone los healthchecks como /health/&lt;svc&gt; para que el Doctor Monkey y los probes de orquestación tengan un único punto de consulta. Los healthchecks están configurados en docker-compose.yml con interval, timeout y retries adecuados; los servicios dependientes esperan a que sus dependencias queden saludables antes de aceptar tráfico (condition: service_healthy).</w:t>
      </w:r>
    </w:p>
    <w:sectPr w:rsidR="00FC693F" w:rsidRPr="0006063C" w:rsidSect="00034616">
      <w:pgSz w:w="12240" w:h="15840"/>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s-CO" w:eastAsia="es-CO"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