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Guía de Sustentación — Fase 2</w:t>
      </w:r>
    </w:p>
    <w:p>
      <w:pPr>
        <w:jc w:val="center"/>
      </w:pPr>
      <w:r>
        <w:rPr>
          <w:color w:val="2E75B6"/>
          <w:sz w:val="28"/>
        </w:rPr>
        <w:t>Preguntas técnicas anticipadas y respuestas</w:t>
        <w:br/>
        <w:t>Tienda Digital — Arquitectura de Microservicios</w:t>
      </w:r>
    </w:p>
    <w:p/>
    <w:p>
      <w:pPr>
        <w:jc w:val="center"/>
      </w:pPr>
      <w:r>
        <w:rPr>
          <w:sz w:val="22"/>
        </w:rPr>
        <w:t>Curso: Arquitectura de Software — UNAB</w:t>
      </w:r>
    </w:p>
    <w:p>
      <w:pPr>
        <w:jc w:val="center"/>
      </w:pPr>
      <w:r>
        <w:rPr>
          <w:sz w:val="22"/>
        </w:rPr>
        <w:t>Mayo 2026</w:t>
      </w:r>
    </w:p>
    <w:p>
      <w:r>
        <w:br w:type="page"/>
      </w:r>
    </w:p>
    <w:p>
      <w:pPr>
        <w:spacing w:after="120"/>
      </w:pPr>
      <w:r>
        <w:rPr>
          <w:b w:val="0"/>
          <w:i/>
          <w:sz w:val="22"/>
        </w:rPr>
      </w:r>
      <w:r>
        <w:rPr>
          <w:b/>
          <w:sz w:val="22"/>
        </w:rPr>
        <w:t>Cómo usar este documento:</w:t>
      </w:r>
      <w:r>
        <w:rPr>
          <w:b w:val="0"/>
          <w:i/>
          <w:sz w:val="22"/>
        </w:rPr>
        <w:t xml:space="preserve"> para cada pregunta, leer la respuesta, identificar el archivo de evidencia y estar preparado para mostrar ese código en pantalla. Las respuestas están redactadas para ser dichas en voz alta.</w:t>
      </w:r>
    </w:p>
    <w:p/>
    <w:p>
      <w:pPr>
        <w:pStyle w:val="Heading1"/>
        <w:spacing w:before="240" w:after="80"/>
      </w:pPr>
      <w:r>
        <w:t>Bloque 1: Arquitectura General</w:t>
      </w:r>
    </w:p>
    <w:p>
      <w:pPr>
        <w:spacing w:before="160" w:after="40"/>
      </w:pPr>
      <w:r>
        <w:rPr>
          <w:b/>
          <w:color w:val="1F4E79"/>
          <w:sz w:val="22"/>
        </w:rPr>
        <w:t>P1: ¿Por qué eligieron 5 microservicios en lugar de más o menos?</w:t>
      </w:r>
    </w:p>
    <w:p>
      <w:pPr>
        <w:spacing w:after="60"/>
      </w:pPr>
      <w:r>
        <w:rPr>
          <w:b w:val="0"/>
          <w:i w:val="0"/>
          <w:sz w:val="21"/>
        </w:rPr>
        <w:t xml:space="preserve">El informe de Fase 1 propuso una descomposición por </w:t>
      </w:r>
      <w:r>
        <w:rPr>
          <w:b/>
          <w:sz w:val="21"/>
        </w:rPr>
        <w:t>Bounded Context</w:t>
      </w:r>
      <w:r>
        <w:rPr>
          <w:b w:val="0"/>
          <w:i w:val="0"/>
          <w:sz w:val="21"/>
        </w:rPr>
        <w:t xml:space="preserve"> según el dominio del negocio: Identidad (Auth), Catálogo visible al cliente (Catalog), Control de stock (Inventory), Flujo de compra (Commerce) y Pagos (Payment). Cinco servicios cubren los subdominios sin sobre-fragmentar — no hay un servicio por entidad, sino por contexto de negocio. Con menos servicios habría acoplamiento entre dominios; con más, complejidad operativa sin beneficio funcional.</w:t>
      </w:r>
    </w:p>
    <w:p>
      <w:pPr>
        <w:spacing w:after="160"/>
      </w:pPr>
      <w:r>
        <w:rPr>
          <w:b/>
          <w:color w:val="707070"/>
          <w:sz w:val="18"/>
        </w:rPr>
        <w:t xml:space="preserve">Evidencia: </w:t>
      </w:r>
      <w:r>
        <w:rPr>
          <w:rFonts w:ascii="Courier New" w:hAnsi="Courier New"/>
          <w:color w:val="707070"/>
          <w:sz w:val="18"/>
        </w:rPr>
        <w:t>docs/arquitectura.md — sección 'Bounded contexts'</w:t>
      </w:r>
    </w:p>
    <w:p>
      <w:pPr>
        <w:spacing w:before="160" w:after="40"/>
      </w:pPr>
      <w:r>
        <w:rPr>
          <w:b/>
          <w:color w:val="1F4E79"/>
          <w:sz w:val="22"/>
        </w:rPr>
        <w:t>P2: ¿Qué pasa si uno de los servicios falla al arrancar?</w:t>
      </w:r>
    </w:p>
    <w:p>
      <w:pPr>
        <w:spacing w:after="60"/>
      </w:pPr>
      <w:r>
        <w:rPr>
          <w:b w:val="0"/>
          <w:i w:val="0"/>
          <w:sz w:val="21"/>
        </w:rPr>
        <w:t xml:space="preserve">Cada microservicio tiene un </w:t>
      </w:r>
      <w:r>
        <w:rPr>
          <w:rFonts w:ascii="Courier New" w:hAnsi="Courier New"/>
          <w:color w:val="C7254E"/>
          <w:sz w:val="19"/>
        </w:rPr>
        <w:t>HEALTHCHECK</w:t>
      </w:r>
      <w:r>
        <w:rPr>
          <w:b w:val="0"/>
          <w:i w:val="0"/>
          <w:sz w:val="21"/>
        </w:rPr>
        <w:t xml:space="preserve"> Docker y el gateway tiene </w:t>
      </w:r>
      <w:r>
        <w:rPr>
          <w:rFonts w:ascii="Courier New" w:hAnsi="Courier New"/>
          <w:color w:val="C7254E"/>
          <w:sz w:val="19"/>
        </w:rPr>
        <w:t>condition: service_healthy</w:t>
      </w:r>
      <w:r>
        <w:rPr>
          <w:b w:val="0"/>
          <w:i w:val="0"/>
          <w:sz w:val="21"/>
        </w:rPr>
        <w:t xml:space="preserve"> para los 5 servicios, lo que significa que el gateway no sirve tráfico hasta que todos pasen su healthcheck. Si un servicio falla repetidamente, Docker lo marca como </w:t>
      </w:r>
      <w:r>
        <w:rPr>
          <w:rFonts w:ascii="Courier New" w:hAnsi="Courier New"/>
          <w:color w:val="C7254E"/>
          <w:sz w:val="19"/>
        </w:rPr>
        <w:t>unhealthy</w:t>
      </w:r>
      <w:r>
        <w:rPr>
          <w:b w:val="0"/>
          <w:i w:val="0"/>
          <w:sz w:val="21"/>
        </w:rPr>
        <w:t xml:space="preserve"> y el gateway nunca arrancaría. Los servicios también tienen </w:t>
      </w:r>
      <w:r>
        <w:rPr>
          <w:rFonts w:ascii="Courier New" w:hAnsi="Courier New"/>
          <w:color w:val="C7254E"/>
          <w:sz w:val="19"/>
        </w:rPr>
        <w:t>restart: unless-stopped</w:t>
      </w:r>
      <w:r>
        <w:rPr>
          <w:b w:val="0"/>
          <w:i w:val="0"/>
          <w:sz w:val="21"/>
        </w:rPr>
        <w:t>, así que Docker los reinicia automáticamente en caso de crash.</w:t>
      </w:r>
    </w:p>
    <w:p>
      <w:pPr>
        <w:spacing w:after="160"/>
      </w:pPr>
      <w:r>
        <w:rPr>
          <w:b/>
          <w:color w:val="707070"/>
          <w:sz w:val="18"/>
        </w:rPr>
        <w:t xml:space="preserve">Evidencia: </w:t>
      </w:r>
      <w:r>
        <w:rPr>
          <w:rFonts w:ascii="Courier New" w:hAnsi="Courier New"/>
          <w:color w:val="707070"/>
          <w:sz w:val="18"/>
        </w:rPr>
        <w:t>docker-compose.yml líneas 84-96 (api-gateway depends_on)</w:t>
      </w:r>
    </w:p>
    <w:p>
      <w:pPr>
        <w:spacing w:before="160" w:after="40"/>
      </w:pPr>
      <w:r>
        <w:rPr>
          <w:b/>
          <w:color w:val="1F4E79"/>
          <w:sz w:val="22"/>
        </w:rPr>
        <w:t>P3: ¿Cómo se comunican los microservicios entre sí?</w:t>
      </w:r>
    </w:p>
    <w:p>
      <w:pPr>
        <w:spacing w:after="60"/>
      </w:pPr>
      <w:r>
        <w:rPr>
          <w:b w:val="0"/>
          <w:i w:val="0"/>
          <w:sz w:val="21"/>
        </w:rPr>
        <w:t xml:space="preserve">Por dos mecanismos. </w:t>
      </w:r>
      <w:r>
        <w:rPr>
          <w:b/>
          <w:sz w:val="21"/>
        </w:rPr>
        <w:t>REST HTTP síncrono:</w:t>
      </w:r>
      <w:r>
        <w:rPr>
          <w:b w:val="0"/>
          <w:i w:val="0"/>
          <w:sz w:val="21"/>
        </w:rPr>
        <w:t xml:space="preserve"> Commerce llama a Inventory y Payment durante el checkout (SAGA). Catalog llama a Inventory para enriquecer el detalle de producto. Todas las llamadas usan el nombre de contenedor Docker como host (</w:t>
      </w:r>
      <w:r>
        <w:rPr>
          <w:rFonts w:ascii="Courier New" w:hAnsi="Courier New"/>
          <w:color w:val="C7254E"/>
          <w:sz w:val="19"/>
        </w:rPr>
        <w:t>http://inventory-service:8003</w:t>
      </w:r>
      <w:r>
        <w:rPr>
          <w:b w:val="0"/>
          <w:i w:val="0"/>
          <w:sz w:val="21"/>
        </w:rPr>
        <w:t xml:space="preserve">), que Docker resuelve en la red </w:t>
      </w:r>
      <w:r>
        <w:rPr>
          <w:rFonts w:ascii="Courier New" w:hAnsi="Courier New"/>
          <w:color w:val="C7254E"/>
          <w:sz w:val="19"/>
        </w:rPr>
        <w:t>tienda_net</w:t>
      </w:r>
      <w:r>
        <w:rPr>
          <w:b w:val="0"/>
          <w:i w:val="0"/>
          <w:sz w:val="21"/>
        </w:rPr>
        <w:t xml:space="preserve">. </w:t>
      </w:r>
      <w:r>
        <w:rPr>
          <w:b/>
          <w:sz w:val="21"/>
        </w:rPr>
        <w:t>Redis compartido:</w:t>
      </w:r>
      <w:r>
        <w:rPr>
          <w:b w:val="0"/>
          <w:i w:val="0"/>
          <w:sz w:val="21"/>
        </w:rPr>
        <w:t xml:space="preserve"> Catalog escribe y lee el cache, Inventory usa Redis para locks distribuidos, Payment usa Redis para los contadores del Circuit Breaker.</w:t>
      </w:r>
    </w:p>
    <w:p>
      <w:pPr>
        <w:spacing w:after="160"/>
      </w:pPr>
      <w:r>
        <w:rPr>
          <w:b/>
          <w:color w:val="707070"/>
          <w:sz w:val="18"/>
        </w:rPr>
        <w:t xml:space="preserve">Evidencia: </w:t>
      </w:r>
      <w:r>
        <w:rPr>
          <w:rFonts w:ascii="Courier New" w:hAnsi="Courier New"/>
          <w:color w:val="707070"/>
          <w:sz w:val="18"/>
        </w:rPr>
        <w:t>commerce-service/app/services/http_clients.py, catalog-service/app/services/inventory_client.py</w:t>
      </w:r>
    </w:p>
    <w:p>
      <w:pPr>
        <w:pStyle w:val="Heading1"/>
        <w:spacing w:before="240" w:after="80"/>
      </w:pPr>
      <w:r>
        <w:t>Bloque 2: Patrones</w:t>
      </w:r>
    </w:p>
    <w:p>
      <w:pPr>
        <w:spacing w:before="160" w:after="40"/>
      </w:pPr>
      <w:r>
        <w:rPr>
          <w:b/>
          <w:color w:val="1F4E79"/>
          <w:sz w:val="22"/>
        </w:rPr>
        <w:t>P4: ¿Están usando realmente una base de datos por servicio?</w:t>
      </w:r>
    </w:p>
    <w:p>
      <w:pPr>
        <w:spacing w:after="60"/>
      </w:pPr>
      <w:r>
        <w:rPr>
          <w:b w:val="0"/>
          <w:i w:val="0"/>
          <w:sz w:val="21"/>
        </w:rPr>
        <w:t xml:space="preserve">Sí, en variante lógica. Un solo servidor MySQL con 5 schemas separados y 5 usuarios MySQL distintos, cada uno con </w:t>
      </w:r>
      <w:r>
        <w:rPr>
          <w:rFonts w:ascii="Courier New" w:hAnsi="Courier New"/>
          <w:color w:val="C7254E"/>
          <w:sz w:val="19"/>
        </w:rPr>
        <w:t>GRANT</w:t>
      </w:r>
      <w:r>
        <w:rPr>
          <w:b w:val="0"/>
          <w:i w:val="0"/>
          <w:sz w:val="21"/>
        </w:rPr>
        <w:t xml:space="preserve"> exclusivo solo sobre su schema. El usuario </w:t>
      </w:r>
      <w:r>
        <w:rPr>
          <w:rFonts w:ascii="Courier New" w:hAnsi="Courier New"/>
          <w:color w:val="C7254E"/>
          <w:sz w:val="19"/>
        </w:rPr>
        <w:t>auth_user</w:t>
      </w:r>
      <w:r>
        <w:rPr>
          <w:b w:val="0"/>
          <w:i w:val="0"/>
          <w:sz w:val="21"/>
        </w:rPr>
        <w:t xml:space="preserve"> no puede hacer un </w:t>
      </w:r>
      <w:r>
        <w:rPr>
          <w:rFonts w:ascii="Courier New" w:hAnsi="Courier New"/>
          <w:color w:val="C7254E"/>
          <w:sz w:val="19"/>
        </w:rPr>
        <w:t>SELECT</w:t>
      </w:r>
      <w:r>
        <w:rPr>
          <w:b w:val="0"/>
          <w:i w:val="0"/>
          <w:sz w:val="21"/>
        </w:rPr>
        <w:t xml:space="preserve"> en </w:t>
      </w:r>
      <w:r>
        <w:rPr>
          <w:rFonts w:ascii="Courier New" w:hAnsi="Courier New"/>
          <w:color w:val="C7254E"/>
          <w:sz w:val="19"/>
        </w:rPr>
        <w:t>catalog_db</w:t>
      </w:r>
      <w:r>
        <w:rPr>
          <w:b w:val="0"/>
          <w:i w:val="0"/>
          <w:sz w:val="21"/>
        </w:rPr>
        <w:t xml:space="preserve"> — MySQL lo rechaza. Esto lo verificamos con el Conformity Monkey que intenta accesos cruzados. En producción, cada schema puede migrarse a su propia instancia solo cambiando </w:t>
      </w:r>
      <w:r>
        <w:rPr>
          <w:rFonts w:ascii="Courier New" w:hAnsi="Courier New"/>
          <w:color w:val="C7254E"/>
          <w:sz w:val="19"/>
        </w:rPr>
        <w:t>DATABASE_URL</w:t>
      </w:r>
      <w:r>
        <w:rPr>
          <w:b w:val="0"/>
          <w:i w:val="0"/>
          <w:sz w:val="21"/>
        </w:rPr>
        <w:t>.</w:t>
      </w:r>
    </w:p>
    <w:p>
      <w:pPr>
        <w:spacing w:after="160"/>
      </w:pPr>
      <w:r>
        <w:rPr>
          <w:b/>
          <w:color w:val="707070"/>
          <w:sz w:val="18"/>
        </w:rPr>
        <w:t xml:space="preserve">Evidencia: </w:t>
      </w:r>
      <w:r>
        <w:rPr>
          <w:rFonts w:ascii="Courier New" w:hAnsi="Courier New"/>
          <w:color w:val="707070"/>
          <w:sz w:val="18"/>
        </w:rPr>
        <w:t>database-init/02_create_users.sql, scripts/chaos/conformity_monkey.sh</w:t>
      </w:r>
    </w:p>
    <w:p>
      <w:pPr>
        <w:spacing w:before="160" w:after="40"/>
      </w:pPr>
      <w:r>
        <w:rPr>
          <w:b/>
          <w:color w:val="1F4E79"/>
          <w:sz w:val="22"/>
        </w:rPr>
        <w:t>P5: ¿Cómo funciona el Cache-Aside? ¿Qué pasa si Redis se cae?</w:t>
      </w:r>
    </w:p>
    <w:p>
      <w:pPr>
        <w:spacing w:after="60"/>
      </w:pPr>
      <w:r>
        <w:rPr>
          <w:b w:val="0"/>
          <w:i w:val="0"/>
          <w:sz w:val="21"/>
        </w:rPr>
        <w:t xml:space="preserve">Cuando llega un GET de productos, primero consultamos Redis. Si existe (cache hit), devolvemos el JSON cacheado. Si no (cache miss), hacemos la query a MySQL, guardamos en Redis con TTL y devolvemos. Al editar un producto, borramos todas las claves con prefijo </w:t>
      </w:r>
      <w:r>
        <w:rPr>
          <w:rFonts w:ascii="Courier New" w:hAnsi="Courier New"/>
          <w:color w:val="C7254E"/>
          <w:sz w:val="19"/>
        </w:rPr>
        <w:t>catalog:products:</w:t>
      </w:r>
      <w:r>
        <w:rPr>
          <w:b w:val="0"/>
          <w:i w:val="0"/>
          <w:sz w:val="21"/>
        </w:rPr>
        <w:t>. Si Redis no está disponible, capturamos la excepción y servimos desde MySQL — el cliente no percibe diferencia, solo respuestas un poco más lentas.</w:t>
      </w:r>
    </w:p>
    <w:p>
      <w:pPr>
        <w:spacing w:after="160"/>
      </w:pPr>
      <w:r>
        <w:rPr>
          <w:b/>
          <w:color w:val="707070"/>
          <w:sz w:val="18"/>
        </w:rPr>
        <w:t xml:space="preserve">Evidencia: </w:t>
      </w:r>
      <w:r>
        <w:rPr>
          <w:rFonts w:ascii="Courier New" w:hAnsi="Courier New"/>
          <w:color w:val="707070"/>
          <w:sz w:val="18"/>
        </w:rPr>
        <w:t>catalog-service/app/core/cache.py</w:t>
      </w:r>
    </w:p>
    <w:p>
      <w:pPr>
        <w:spacing w:before="160" w:after="40"/>
      </w:pPr>
      <w:r>
        <w:rPr>
          <w:b/>
          <w:color w:val="1F4E79"/>
          <w:sz w:val="22"/>
        </w:rPr>
        <w:t>P6: ¿Qué es el Circuit Breaker y cómo lo implementaron?</w:t>
      </w:r>
    </w:p>
    <w:p>
      <w:pPr>
        <w:spacing w:after="60"/>
      </w:pPr>
      <w:r>
        <w:rPr>
          <w:b w:val="0"/>
          <w:i w:val="0"/>
          <w:sz w:val="21"/>
        </w:rPr>
        <w:t xml:space="preserve">Es un patrón con 3 estados. En </w:t>
      </w:r>
      <w:r>
        <w:rPr>
          <w:b/>
          <w:sz w:val="21"/>
        </w:rPr>
        <w:t>CLOSED</w:t>
      </w:r>
      <w:r>
        <w:rPr>
          <w:b w:val="0"/>
          <w:i w:val="0"/>
          <w:sz w:val="21"/>
        </w:rPr>
        <w:t xml:space="preserve"> (normal), los pagos pasan al mock y cada error incrementa un contador en Redis con TTL. Al llegar a 5 fallos, seteamos una clave con TTL de 60s → estado </w:t>
      </w:r>
      <w:r>
        <w:rPr>
          <w:b/>
          <w:sz w:val="21"/>
        </w:rPr>
        <w:t>OPEN</w:t>
      </w:r>
      <w:r>
        <w:rPr>
          <w:b w:val="0"/>
          <w:i w:val="0"/>
          <w:sz w:val="21"/>
        </w:rPr>
        <w:t>. Mientras OPEN, rechazamos en &lt;100ms sin tocar la pasarela. Después de 60s la clave expira, permitimos una llamada de prueba (</w:t>
      </w:r>
      <w:r>
        <w:rPr>
          <w:b/>
          <w:sz w:val="21"/>
        </w:rPr>
        <w:t>HALF_OPEN</w:t>
      </w:r>
      <w:r>
        <w:rPr>
          <w:b w:val="0"/>
          <w:i w:val="0"/>
          <w:sz w:val="21"/>
        </w:rPr>
        <w:t>). Si tiene éxito → CLOSED. Si falla → OPEN otra vez.</w:t>
      </w:r>
    </w:p>
    <w:p>
      <w:pPr>
        <w:spacing w:after="160"/>
      </w:pPr>
      <w:r>
        <w:rPr>
          <w:b/>
          <w:color w:val="707070"/>
          <w:sz w:val="18"/>
        </w:rPr>
        <w:t xml:space="preserve">Evidencia: </w:t>
      </w:r>
      <w:r>
        <w:rPr>
          <w:rFonts w:ascii="Courier New" w:hAnsi="Courier New"/>
          <w:color w:val="707070"/>
          <w:sz w:val="18"/>
        </w:rPr>
        <w:t>payment-service/app/core/circuit_breaker.py — clase CircuitBreaker, métodos allow(), record_failure(), record_success()</w:t>
      </w:r>
    </w:p>
    <w:p>
      <w:pPr>
        <w:spacing w:before="160" w:after="40"/>
      </w:pPr>
      <w:r>
        <w:rPr>
          <w:b/>
          <w:color w:val="1F4E79"/>
          <w:sz w:val="22"/>
        </w:rPr>
        <w:t>P7: Expliquen la SAGA. ¿Qué pasa si falla la confirmación de inventario después del pago?</w:t>
      </w:r>
    </w:p>
    <w:p>
      <w:pPr>
        <w:spacing w:after="60"/>
      </w:pPr>
      <w:r>
        <w:rPr>
          <w:b w:val="0"/>
          <w:i w:val="0"/>
          <w:sz w:val="21"/>
        </w:rPr>
        <w:t xml:space="preserve">La SAGA tiene ese caso documentado. Cuando el pago es APPROVED, llamamos a Inventory para confirmar (decrementar stock). Si esa confirmación falla, la Order ya está en PAID y el pago ya se cobró. No hacemos rollback del pago. En cambio, registramos un </w:t>
      </w:r>
      <w:r>
        <w:rPr>
          <w:rFonts w:ascii="Courier New" w:hAnsi="Courier New"/>
          <w:color w:val="C7254E"/>
          <w:sz w:val="19"/>
        </w:rPr>
        <w:t>OrderAuditLog</w:t>
      </w:r>
      <w:r>
        <w:rPr>
          <w:b w:val="0"/>
          <w:i w:val="0"/>
          <w:sz w:val="21"/>
        </w:rPr>
        <w:t xml:space="preserve"> con la inconsistencia para auditoría, y el scheduler de Inventory libera la reserva al expirar el TTL. Para los casos que sí controlamos — Inventory caído antes del pago, pago rechazado, CB abierto — la compensación es automática: llamamos a </w:t>
      </w:r>
      <w:r>
        <w:rPr>
          <w:rFonts w:ascii="Courier New" w:hAnsi="Courier New"/>
          <w:color w:val="C7254E"/>
          <w:sz w:val="19"/>
        </w:rPr>
        <w:t>POST /inventory/release</w:t>
      </w:r>
      <w:r>
        <w:rPr>
          <w:b w:val="0"/>
          <w:i w:val="0"/>
          <w:sz w:val="21"/>
        </w:rPr>
        <w:t>.</w:t>
      </w:r>
    </w:p>
    <w:p>
      <w:pPr>
        <w:spacing w:after="160"/>
      </w:pPr>
      <w:r>
        <w:rPr>
          <w:b/>
          <w:color w:val="707070"/>
          <w:sz w:val="18"/>
        </w:rPr>
        <w:t xml:space="preserve">Evidencia: </w:t>
      </w:r>
      <w:r>
        <w:rPr>
          <w:rFonts w:ascii="Courier New" w:hAnsi="Courier New"/>
          <w:color w:val="707070"/>
          <w:sz w:val="18"/>
        </w:rPr>
        <w:t>commerce-service/app/services/checkout_saga.py — línea ~424, comentario 'caso raro'</w:t>
      </w:r>
    </w:p>
    <w:p>
      <w:pPr>
        <w:spacing w:before="160" w:after="40"/>
      </w:pPr>
      <w:r>
        <w:rPr>
          <w:b/>
          <w:color w:val="1F4E79"/>
          <w:sz w:val="22"/>
        </w:rPr>
        <w:t>P8: ¿Qué es el Distributed Lock y por qué lo necesitan?</w:t>
      </w:r>
    </w:p>
    <w:p>
      <w:pPr>
        <w:spacing w:after="60"/>
      </w:pPr>
      <w:r>
        <w:rPr>
          <w:b w:val="0"/>
          <w:i w:val="0"/>
          <w:sz w:val="21"/>
        </w:rPr>
        <w:t xml:space="preserve">Sin lock, dos usuarios comprando el último producto al mismo tiempo podrían ambos leer </w:t>
      </w:r>
      <w:r>
        <w:rPr>
          <w:rFonts w:ascii="Courier New" w:hAnsi="Courier New"/>
          <w:color w:val="C7254E"/>
          <w:sz w:val="19"/>
        </w:rPr>
        <w:t>stock=1</w:t>
      </w:r>
      <w:r>
        <w:rPr>
          <w:b w:val="0"/>
          <w:i w:val="0"/>
          <w:sz w:val="21"/>
        </w:rPr>
        <w:t xml:space="preserve"> y ambos proceder, terminando con </w:t>
      </w:r>
      <w:r>
        <w:rPr>
          <w:rFonts w:ascii="Courier New" w:hAnsi="Courier New"/>
          <w:color w:val="C7254E"/>
          <w:sz w:val="19"/>
        </w:rPr>
        <w:t>stock=-1</w:t>
      </w:r>
      <w:r>
        <w:rPr>
          <w:b w:val="0"/>
          <w:i w:val="0"/>
          <w:sz w:val="21"/>
        </w:rPr>
        <w:t xml:space="preserve">. El lock usa </w:t>
      </w:r>
      <w:r>
        <w:rPr>
          <w:rFonts w:ascii="Courier New" w:hAnsi="Courier New"/>
          <w:color w:val="C7254E"/>
          <w:sz w:val="19"/>
        </w:rPr>
        <w:t>SET NX EX</w:t>
      </w:r>
      <w:r>
        <w:rPr>
          <w:b w:val="0"/>
          <w:i w:val="0"/>
          <w:sz w:val="21"/>
        </w:rPr>
        <w:t xml:space="preserve"> en Redis: 'setea este valor, solo si no existe (NX), con tiempo de expiración (EX)'. El proceso que logra el SET adquiere el lock; el otro recibe 409. Para liberar, usamos un script Lua que verifica que quien libera sea el mismo que adquirió (por token). Si Redis no está disponible, caemos a </w:t>
      </w:r>
      <w:r>
        <w:rPr>
          <w:rFonts w:ascii="Courier New" w:hAnsi="Courier New"/>
          <w:color w:val="C7254E"/>
          <w:sz w:val="19"/>
        </w:rPr>
        <w:t>SELECT FOR UPDATE</w:t>
      </w:r>
      <w:r>
        <w:rPr>
          <w:b w:val="0"/>
          <w:i w:val="0"/>
          <w:sz w:val="21"/>
        </w:rPr>
        <w:t xml:space="preserve"> en MySQL.</w:t>
      </w:r>
    </w:p>
    <w:p>
      <w:pPr>
        <w:spacing w:after="160"/>
      </w:pPr>
      <w:r>
        <w:rPr>
          <w:b/>
          <w:color w:val="707070"/>
          <w:sz w:val="18"/>
        </w:rPr>
        <w:t xml:space="preserve">Evidencia: </w:t>
      </w:r>
      <w:r>
        <w:rPr>
          <w:rFonts w:ascii="Courier New" w:hAnsi="Courier New"/>
          <w:color w:val="707070"/>
          <w:sz w:val="18"/>
        </w:rPr>
        <w:t>inventory-service/app/core/redis_lock.py</w:t>
      </w:r>
    </w:p>
    <w:p>
      <w:pPr>
        <w:spacing w:before="160" w:after="40"/>
      </w:pPr>
      <w:r>
        <w:rPr>
          <w:b/>
          <w:color w:val="1F4E79"/>
          <w:sz w:val="22"/>
        </w:rPr>
        <w:t>P9: ¿El JWT compartido no es un riesgo de seguridad?</w:t>
      </w:r>
    </w:p>
    <w:p>
      <w:pPr>
        <w:spacing w:after="60"/>
      </w:pPr>
      <w:r>
        <w:rPr>
          <w:b w:val="0"/>
          <w:i w:val="0"/>
          <w:sz w:val="21"/>
        </w:rPr>
        <w:t>Es un trade-off conocido. El beneficio es SSO verdadero sin acoplamiento: cada servicio valida localmente sin llamar al Auth. El riesgo — si alguien obtiene el secreto puede forjar tokens — se mitiga con: secreto solo en variable de entorno (nunca en código), access tokens con expiración de 60 min, refresh tokens hasheados (SHA-256) en BD y rotados en cada uso. Para producción, el secreto iría en AWS Secrets Manager o Vault.</w:t>
      </w:r>
    </w:p>
    <w:p>
      <w:pPr>
        <w:spacing w:after="160"/>
      </w:pPr>
      <w:r>
        <w:rPr>
          <w:b/>
          <w:color w:val="707070"/>
          <w:sz w:val="18"/>
        </w:rPr>
        <w:t xml:space="preserve">Evidencia: </w:t>
      </w:r>
      <w:r>
        <w:rPr>
          <w:rFonts w:ascii="Courier New" w:hAnsi="Courier New"/>
          <w:color w:val="707070"/>
          <w:sz w:val="18"/>
        </w:rPr>
        <w:t>services/auth-service/app/core/security.py + docker-compose.yml variable JWT_SECRET</w:t>
      </w:r>
    </w:p>
    <w:p>
      <w:pPr>
        <w:pStyle w:val="Heading1"/>
        <w:spacing w:before="240" w:after="80"/>
      </w:pPr>
      <w:r>
        <w:t>Bloque 3: Chaos Engineering</w:t>
      </w:r>
    </w:p>
    <w:p>
      <w:pPr>
        <w:spacing w:before="160" w:after="40"/>
      </w:pPr>
      <w:r>
        <w:rPr>
          <w:b/>
          <w:color w:val="1F4E79"/>
          <w:sz w:val="22"/>
        </w:rPr>
        <w:t>P10: ¿Cómo ejecutan los tests de Chaos y qué demuestran?</w:t>
      </w:r>
    </w:p>
    <w:p>
      <w:pPr>
        <w:spacing w:after="60"/>
      </w:pPr>
      <w:r>
        <w:rPr>
          <w:b w:val="0"/>
          <w:i w:val="0"/>
          <w:sz w:val="21"/>
        </w:rPr>
        <w:t xml:space="preserve">Levantamos todo con </w:t>
      </w:r>
      <w:r>
        <w:rPr>
          <w:rFonts w:ascii="Courier New" w:hAnsi="Courier New"/>
          <w:color w:val="C7254E"/>
          <w:sz w:val="19"/>
        </w:rPr>
        <w:t>docker compose up -d</w:t>
      </w:r>
      <w:r>
        <w:rPr>
          <w:b w:val="0"/>
          <w:i w:val="0"/>
          <w:sz w:val="21"/>
        </w:rPr>
        <w:t xml:space="preserve"> y ejecutamos por ejemplo </w:t>
      </w:r>
      <w:r>
        <w:rPr>
          <w:rFonts w:ascii="Courier New" w:hAnsi="Courier New"/>
          <w:color w:val="C7254E"/>
          <w:sz w:val="19"/>
        </w:rPr>
        <w:t>bash scripts/chaos/latency_monkey_payment.sh</w:t>
      </w:r>
      <w:r>
        <w:rPr>
          <w:b w:val="0"/>
          <w:i w:val="0"/>
          <w:sz w:val="21"/>
        </w:rPr>
        <w:t xml:space="preserve">. Los scripts usan curl para hacer requests al sistema y verifican códigos HTTP y cuerpos. El Latency Monkey dispara 5 pagos con monto </w:t>
      </w:r>
      <w:r>
        <w:rPr>
          <w:rFonts w:ascii="Courier New" w:hAnsi="Courier New"/>
          <w:color w:val="C7254E"/>
          <w:sz w:val="19"/>
        </w:rPr>
        <w:t>.88</w:t>
      </w:r>
      <w:r>
        <w:rPr>
          <w:b w:val="0"/>
          <w:i w:val="0"/>
          <w:sz w:val="21"/>
        </w:rPr>
        <w:t xml:space="preserve"> (mock responde 500), verifica que el CB esté OPEN, intenta un checkout y verifica 503 sin Order creada, luego resetea el CB y verifica que todo vuelve normal. Son 9 assertions documentadas — si todas pasan, demostramos que la protección funciona.</w:t>
      </w:r>
    </w:p>
    <w:p>
      <w:pPr>
        <w:spacing w:after="160"/>
      </w:pPr>
      <w:r>
        <w:rPr>
          <w:b/>
          <w:color w:val="707070"/>
          <w:sz w:val="18"/>
        </w:rPr>
        <w:t xml:space="preserve">Evidencia: </w:t>
      </w:r>
      <w:r>
        <w:rPr>
          <w:rFonts w:ascii="Courier New" w:hAnsi="Courier New"/>
          <w:color w:val="707070"/>
          <w:sz w:val="18"/>
        </w:rPr>
        <w:t>scripts/chaos/latency_monkey_payment.sh</w:t>
      </w:r>
    </w:p>
    <w:p>
      <w:pPr>
        <w:spacing w:before="160" w:after="40"/>
      </w:pPr>
      <w:r>
        <w:rPr>
          <w:b/>
          <w:color w:val="1F4E79"/>
          <w:sz w:val="22"/>
        </w:rPr>
        <w:t>P11: ¿Por qué el Conformity Monkey tiene 51 verificaciones?</w:t>
      </w:r>
    </w:p>
    <w:p>
      <w:pPr>
        <w:spacing w:after="60"/>
      </w:pPr>
      <w:r>
        <w:rPr>
          <w:b w:val="0"/>
          <w:i w:val="0"/>
          <w:sz w:val="21"/>
        </w:rPr>
        <w:t>Verificamos 5 categorías: cada servicio debe tener Dockerfile, requirements.txt, .env.example, app/main.py (20 checks); el Dockerfile debe declarar USER no-root (5 checks); debe responder en su puerto propio (5 checks); el gateway debe enrutar correctamente (5 checks). Eso da 35. Los 16 restantes verifican que los usuarios MySQL de un servicio no pueden acceder al schema de otro — intentamos queries cruzadas y verificamos que MySQL las rechaza.</w:t>
      </w:r>
    </w:p>
    <w:p>
      <w:pPr>
        <w:spacing w:after="160"/>
      </w:pPr>
      <w:r>
        <w:rPr>
          <w:b/>
          <w:color w:val="707070"/>
          <w:sz w:val="18"/>
        </w:rPr>
        <w:t xml:space="preserve">Evidencia: </w:t>
      </w:r>
      <w:r>
        <w:rPr>
          <w:rFonts w:ascii="Courier New" w:hAnsi="Courier New"/>
          <w:color w:val="707070"/>
          <w:sz w:val="18"/>
        </w:rPr>
        <w:t>scripts/chaos/conformity_monkey.sh</w:t>
      </w:r>
    </w:p>
    <w:p>
      <w:pPr>
        <w:spacing w:before="160" w:after="40"/>
      </w:pPr>
      <w:r>
        <w:rPr>
          <w:b/>
          <w:color w:val="1F4E79"/>
          <w:sz w:val="22"/>
        </w:rPr>
        <w:t>P12: ¿Qué es el Correlation ID y para qué sirve?</w:t>
      </w:r>
    </w:p>
    <w:p>
      <w:pPr>
        <w:spacing w:after="60"/>
      </w:pPr>
      <w:r>
        <w:rPr>
          <w:b w:val="0"/>
          <w:i w:val="0"/>
          <w:sz w:val="21"/>
        </w:rPr>
        <w:t xml:space="preserve">Un UUID que el gateway Nginx genera para cada request y propaga como header </w:t>
      </w:r>
      <w:r>
        <w:rPr>
          <w:rFonts w:ascii="Courier New" w:hAnsi="Courier New"/>
          <w:color w:val="C7254E"/>
          <w:sz w:val="19"/>
        </w:rPr>
        <w:t>X-Correlation-Id</w:t>
      </w:r>
      <w:r>
        <w:rPr>
          <w:b w:val="0"/>
          <w:i w:val="0"/>
          <w:sz w:val="21"/>
        </w:rPr>
        <w:t>. Cada servicio lo incluye en sus logs y tablas de auditoría (OrderAuditLog, AccessLog, FailedCheckoutAttempt). Si un checkout falla y el usuario reporta el problema, el administrador puede rastrear qué pasó en cada servicio: cuándo llegó al gateway, cuándo llegó a Commerce, si se llamó a Inventory, si se intentó el pago. Sin correlation ID, los logs de 5 servicios son imposibles de correlacionar.</w:t>
      </w:r>
    </w:p>
    <w:p>
      <w:pPr>
        <w:spacing w:after="160"/>
      </w:pPr>
      <w:r>
        <w:rPr>
          <w:b/>
          <w:color w:val="707070"/>
          <w:sz w:val="18"/>
        </w:rPr>
        <w:t xml:space="preserve">Evidencia: </w:t>
      </w:r>
      <w:r>
        <w:rPr>
          <w:rFonts w:ascii="Courier New" w:hAnsi="Courier New"/>
          <w:color w:val="707070"/>
          <w:sz w:val="18"/>
        </w:rPr>
        <w:t>api-gateway/conf.d/gateway.conf (generación), commerce-service/app/services/checkout_saga.py (propagación)</w:t>
      </w:r>
    </w:p>
    <w:p>
      <w:pPr>
        <w:pStyle w:val="Heading1"/>
        <w:spacing w:before="240" w:after="80"/>
      </w:pPr>
      <w:r>
        <w:t>Bloque 4: Decisiones técnicas</w:t>
      </w:r>
    </w:p>
    <w:p>
      <w:pPr>
        <w:spacing w:before="160" w:after="40"/>
      </w:pPr>
      <w:r>
        <w:rPr>
          <w:b/>
          <w:color w:val="1F4E79"/>
          <w:sz w:val="22"/>
        </w:rPr>
        <w:t>P13: ¿Por qué no implementaron RabbitMQ si estaba en el diseño?</w:t>
      </w:r>
    </w:p>
    <w:p>
      <w:pPr>
        <w:spacing w:after="60"/>
      </w:pPr>
      <w:r>
        <w:rPr>
          <w:b w:val="0"/>
          <w:i w:val="0"/>
          <w:sz w:val="21"/>
        </w:rPr>
        <w:t>El informe de Fase 1 plantea tres niveles. Nivel 1 (MVP): 5 servicios + Docker + JWT + health checks. Nivel 2: Cache-Aside + locks + SAGA síncrona + Circuit Breaker. Nivel 3: RabbitMQ + Outbox + DLQ. Implementamos completos Nivel 1 y Nivel 2. El Nivel 3 se descartó porque requiere al menos 3 contenedores adicionales, una implementación de Outbox y DLQ, triplicando la complejidad sin agregar valor funcional demostrable para este MVP.</w:t>
      </w:r>
    </w:p>
    <w:p>
      <w:pPr>
        <w:spacing w:after="160"/>
      </w:pPr>
      <w:r>
        <w:rPr>
          <w:b/>
          <w:color w:val="707070"/>
          <w:sz w:val="18"/>
        </w:rPr>
        <w:t xml:space="preserve">Evidencia: </w:t>
      </w:r>
      <w:r>
        <w:rPr>
          <w:rFonts w:ascii="Courier New" w:hAnsi="Courier New"/>
          <w:color w:val="707070"/>
          <w:sz w:val="18"/>
        </w:rPr>
        <w:t>docs/arquitectura.md — sección 'Decisiones de migración'</w:t>
      </w:r>
    </w:p>
    <w:p>
      <w:pPr>
        <w:spacing w:before="160" w:after="40"/>
      </w:pPr>
      <w:r>
        <w:rPr>
          <w:b/>
          <w:color w:val="1F4E79"/>
          <w:sz w:val="22"/>
        </w:rPr>
        <w:t>P14: ¿Cómo garantizan que el frontend funciona?</w:t>
      </w:r>
    </w:p>
    <w:p>
      <w:pPr>
        <w:spacing w:after="60"/>
      </w:pPr>
      <w:r>
        <w:rPr>
          <w:b w:val="0"/>
          <w:i w:val="0"/>
          <w:sz w:val="21"/>
        </w:rPr>
        <w:t xml:space="preserve">El frontend React solo necesita cambiar la URL base de </w:t>
      </w:r>
      <w:r>
        <w:rPr>
          <w:rFonts w:ascii="Courier New" w:hAnsi="Courier New"/>
          <w:color w:val="C7254E"/>
          <w:sz w:val="19"/>
        </w:rPr>
        <w:t>http://localhost:8000</w:t>
      </w:r>
      <w:r>
        <w:rPr>
          <w:b w:val="0"/>
          <w:i w:val="0"/>
          <w:sz w:val="21"/>
        </w:rPr>
        <w:t xml:space="preserve"> a </w:t>
      </w:r>
      <w:r>
        <w:rPr>
          <w:rFonts w:ascii="Courier New" w:hAnsi="Courier New"/>
          <w:color w:val="C7254E"/>
          <w:sz w:val="19"/>
        </w:rPr>
        <w:t>http://localhost/api</w:t>
      </w:r>
      <w:r>
        <w:rPr>
          <w:b w:val="0"/>
          <w:i w:val="0"/>
          <w:sz w:val="21"/>
        </w:rPr>
        <w:t xml:space="preserve">. El gateway enruta internamente. En el Bloque 7 se ajustaron algunas rutas que cambiaron entre monolito y microservicios: </w:t>
      </w:r>
      <w:r>
        <w:rPr>
          <w:rFonts w:ascii="Courier New" w:hAnsi="Courier New"/>
          <w:color w:val="C7254E"/>
          <w:sz w:val="19"/>
        </w:rPr>
        <w:t>/orders/my</w:t>
      </w:r>
      <w:r>
        <w:rPr>
          <w:b w:val="0"/>
          <w:i w:val="0"/>
          <w:sz w:val="21"/>
        </w:rPr>
        <w:t xml:space="preserve"> → </w:t>
      </w:r>
      <w:r>
        <w:rPr>
          <w:rFonts w:ascii="Courier New" w:hAnsi="Courier New"/>
          <w:color w:val="C7254E"/>
          <w:sz w:val="19"/>
        </w:rPr>
        <w:t>/orders/mine</w:t>
      </w:r>
      <w:r>
        <w:rPr>
          <w:b w:val="0"/>
          <w:i w:val="0"/>
          <w:sz w:val="21"/>
        </w:rPr>
        <w:t xml:space="preserve">, </w:t>
      </w:r>
      <w:r>
        <w:rPr>
          <w:rFonts w:ascii="Courier New" w:hAnsi="Courier New"/>
          <w:color w:val="C7254E"/>
          <w:sz w:val="19"/>
        </w:rPr>
        <w:t>/admin/dashboard</w:t>
      </w:r>
      <w:r>
        <w:rPr>
          <w:b w:val="0"/>
          <w:i w:val="0"/>
          <w:sz w:val="21"/>
        </w:rPr>
        <w:t xml:space="preserve"> → </w:t>
      </w:r>
      <w:r>
        <w:rPr>
          <w:rFonts w:ascii="Courier New" w:hAnsi="Courier New"/>
          <w:color w:val="C7254E"/>
          <w:sz w:val="19"/>
        </w:rPr>
        <w:t>/admin/finance/summary</w:t>
      </w:r>
      <w:r>
        <w:rPr>
          <w:b w:val="0"/>
          <w:i w:val="0"/>
          <w:sz w:val="21"/>
        </w:rPr>
        <w:t>, etc. El Badge.jsx soporta tanto estados en MAYÚSCULAS (microservicios) como minúsculas (monolito legacy).</w:t>
      </w:r>
    </w:p>
    <w:p>
      <w:pPr>
        <w:spacing w:after="160"/>
      </w:pPr>
      <w:r>
        <w:rPr>
          <w:b/>
          <w:color w:val="707070"/>
          <w:sz w:val="18"/>
        </w:rPr>
        <w:t xml:space="preserve">Evidencia: </w:t>
      </w:r>
      <w:r>
        <w:rPr>
          <w:rFonts w:ascii="Courier New" w:hAnsi="Courier New"/>
          <w:color w:val="707070"/>
          <w:sz w:val="18"/>
        </w:rPr>
        <w:t>docs/fase2.md Bloque 7, frontend/src/api/client.js</w:t>
      </w:r>
    </w:p>
    <w:p>
      <w:pPr>
        <w:spacing w:before="160" w:after="40"/>
      </w:pPr>
      <w:r>
        <w:rPr>
          <w:b/>
          <w:color w:val="1F4E79"/>
          <w:sz w:val="22"/>
        </w:rPr>
        <w:t>P15: Si fueran a producción, ¿qué cambiarían?</w:t>
      </w:r>
    </w:p>
    <w:p>
      <w:pPr>
        <w:spacing w:after="60"/>
      </w:pPr>
      <w:r>
        <w:rPr>
          <w:b w:val="0"/>
          <w:i w:val="0"/>
          <w:sz w:val="21"/>
        </w:rPr>
        <w:t xml:space="preserve">JWT_SECRET en AWS Secrets Manager o Vault. Redis con </w:t>
      </w:r>
      <w:r>
        <w:rPr>
          <w:rFonts w:ascii="Courier New" w:hAnsi="Courier New"/>
          <w:color w:val="C7254E"/>
          <w:sz w:val="19"/>
        </w:rPr>
        <w:t>requirepass</w:t>
      </w:r>
      <w:r>
        <w:rPr>
          <w:b w:val="0"/>
          <w:i w:val="0"/>
          <w:sz w:val="21"/>
        </w:rPr>
        <w:t xml:space="preserve">. Contraseñas MySQL fuertes. TLS/HTTPS en el gateway. Cada servicio en su propio pod Kubernetes — los healthchecks ya son compatibles. El payment-mock se reemplaza por la pasarela real (Stripe, PayU) cambiando solo </w:t>
      </w:r>
      <w:r>
        <w:rPr>
          <w:rFonts w:ascii="Courier New" w:hAnsi="Courier New"/>
          <w:color w:val="C7254E"/>
          <w:sz w:val="19"/>
        </w:rPr>
        <w:t>PAYMENT_MOCK_URL</w:t>
      </w:r>
      <w:r>
        <w:rPr>
          <w:b w:val="0"/>
          <w:i w:val="0"/>
          <w:sz w:val="21"/>
        </w:rPr>
        <w:t xml:space="preserve"> en el </w:t>
      </w:r>
      <w:r>
        <w:rPr>
          <w:rFonts w:ascii="Courier New" w:hAnsi="Courier New"/>
          <w:color w:val="C7254E"/>
          <w:sz w:val="19"/>
        </w:rPr>
        <w:t>.env</w:t>
      </w:r>
      <w:r>
        <w:rPr>
          <w:b w:val="0"/>
          <w:i w:val="0"/>
          <w:sz w:val="21"/>
        </w:rPr>
        <w:t>.</w:t>
      </w:r>
    </w:p>
    <w:p>
      <w:pPr>
        <w:spacing w:after="160"/>
      </w:pPr>
      <w:r>
        <w:rPr>
          <w:b/>
          <w:color w:val="707070"/>
          <w:sz w:val="18"/>
        </w:rPr>
        <w:t xml:space="preserve">Evidencia: </w:t>
      </w:r>
      <w:r>
        <w:rPr>
          <w:rFonts w:ascii="Courier New" w:hAnsi="Courier New"/>
          <w:color w:val="707070"/>
          <w:sz w:val="18"/>
        </w:rPr>
        <w:t>docs/arquitectura.md — sección 'Preparación para producción'</w:t>
      </w:r>
    </w:p>
    <w:p>
      <w:pPr>
        <w:pStyle w:val="Heading1"/>
        <w:spacing w:before="240" w:after="80"/>
      </w:pPr>
      <w:r>
        <w:t>Bloque 5: Preguntas trampa / difíciles</w:t>
      </w:r>
    </w:p>
    <w:p>
      <w:pPr>
        <w:spacing w:before="160" w:after="40"/>
      </w:pPr>
      <w:r>
        <w:rPr>
          <w:b/>
          <w:color w:val="1F4E79"/>
          <w:sz w:val="22"/>
        </w:rPr>
        <w:t>P16: ¿Cómo manejan la consistencia eventual entre servicios?</w:t>
      </w:r>
    </w:p>
    <w:p>
      <w:pPr>
        <w:spacing w:after="60"/>
      </w:pPr>
      <w:r>
        <w:rPr>
          <w:b w:val="0"/>
          <w:i w:val="0"/>
          <w:sz w:val="21"/>
        </w:rPr>
        <w:t>En el happy path la consistencia es inmediata porque la SAGA es síncrona. El caso de consistencia eventual surge cuando el commit de Commerce falla después de que Inventory ya confirmó el stock. Lo manejamos con OrderAuditLog para auditoría manual y el scheduler de Inventory que eventualmente libera reservas vencidas (TTL 15 min). En producción el Outbox Pattern eliminaría esa ventana.</w:t>
      </w:r>
    </w:p>
    <w:p>
      <w:pPr>
        <w:spacing w:after="160"/>
      </w:pPr>
      <w:r>
        <w:rPr>
          <w:b/>
          <w:color w:val="707070"/>
          <w:sz w:val="18"/>
        </w:rPr>
        <w:t xml:space="preserve">Evidencia: </w:t>
      </w:r>
      <w:r>
        <w:rPr>
          <w:rFonts w:ascii="Courier New" w:hAnsi="Courier New"/>
          <w:color w:val="707070"/>
          <w:sz w:val="18"/>
        </w:rPr>
        <w:t>commerce-service/app/services/checkout_saga.py — comentario final del método execute_checkout</w:t>
      </w:r>
    </w:p>
    <w:p>
      <w:pPr>
        <w:spacing w:before="160" w:after="40"/>
      </w:pPr>
      <w:r>
        <w:rPr>
          <w:b/>
          <w:color w:val="1F4E79"/>
          <w:sz w:val="22"/>
        </w:rPr>
        <w:t>P17: ¿Un microservicio puede consultar directamente la BD de otro?</w:t>
      </w:r>
    </w:p>
    <w:p>
      <w:pPr>
        <w:spacing w:after="60"/>
      </w:pPr>
      <w:r>
        <w:rPr>
          <w:b w:val="0"/>
          <w:i w:val="0"/>
          <w:sz w:val="21"/>
        </w:rPr>
        <w:t>No. El aislamiento es doble: ningún servicio conoce el DATABASE_URL de otro (cada uno solo tiene el suyo en docker-compose.yml), y a nivel MySQL el usuario de cada servicio solo tiene GRANT en su schema. Si por error catalog-service intentara conectarse a auth_db, MySQL rechazaría la conexión. La única forma de acceder a datos de otro servicio es a través de su API HTTP.</w:t>
      </w:r>
    </w:p>
    <w:p>
      <w:pPr>
        <w:spacing w:after="160"/>
      </w:pPr>
      <w:r>
        <w:rPr>
          <w:b/>
          <w:color w:val="707070"/>
          <w:sz w:val="18"/>
        </w:rPr>
        <w:t xml:space="preserve">Evidencia: </w:t>
      </w:r>
      <w:r>
        <w:rPr>
          <w:rFonts w:ascii="Courier New" w:hAnsi="Courier New"/>
          <w:color w:val="707070"/>
          <w:sz w:val="18"/>
        </w:rPr>
        <w:t>docker-compose.yml variables DATABASE_URL por servicio + database-init/02_create_users.sql</w:t>
      </w:r>
    </w:p>
    <w:p>
      <w:pPr>
        <w:spacing w:before="160" w:after="40"/>
      </w:pPr>
      <w:r>
        <w:rPr>
          <w:b/>
          <w:color w:val="1F4E79"/>
          <w:sz w:val="22"/>
        </w:rPr>
        <w:t>P18: ¿Por qué commerce-service usa service_started y no service_healthy?</w:t>
      </w:r>
    </w:p>
    <w:p>
      <w:pPr>
        <w:spacing w:after="60"/>
      </w:pPr>
      <w:r>
        <w:rPr>
          <w:b w:val="0"/>
          <w:i w:val="0"/>
          <w:sz w:val="21"/>
        </w:rPr>
        <w:t>Porque Commerce puede inicializarse aunque Inventory y Payment aún no estén healthy. Los servicios no se llaman en el arranque — solo cuando un usuario ejecuta un checkout. Para entonces, los otros servicios ya están listos. Si usáramos service_healthy, el arranque total sería más lento. La resiliencia viene de los reintentos en las llamadas HTTP — si Inventory no responde, Commerce devuelve 503 con mensaje claro.</w:t>
      </w:r>
    </w:p>
    <w:p>
      <w:pPr>
        <w:spacing w:after="160"/>
      </w:pPr>
      <w:r>
        <w:rPr>
          <w:b/>
          <w:color w:val="707070"/>
          <w:sz w:val="18"/>
        </w:rPr>
        <w:t xml:space="preserve">Evidencia: </w:t>
      </w:r>
      <w:r>
        <w:rPr>
          <w:rFonts w:ascii="Courier New" w:hAnsi="Courier New"/>
          <w:color w:val="707070"/>
          <w:sz w:val="18"/>
        </w:rPr>
        <w:t>docker-compose.yml líneas 192-193</w:t>
      </w:r>
    </w:p>
    <w:p>
      <w:pPr>
        <w:spacing w:before="160" w:after="40"/>
      </w:pPr>
      <w:r>
        <w:rPr>
          <w:b/>
          <w:color w:val="1F4E79"/>
          <w:sz w:val="22"/>
        </w:rPr>
        <w:t>P19: ¿Cómo demuestran el rate limiting en vivo?</w:t>
      </w:r>
    </w:p>
    <w:p>
      <w:pPr>
        <w:spacing w:after="60"/>
      </w:pPr>
      <w:r>
        <w:rPr>
          <w:b w:val="0"/>
          <w:i w:val="0"/>
          <w:sz w:val="21"/>
        </w:rPr>
        <w:t>Enviamos 6 requests de login rápidos. Los primeros 5 devuelven 401 (credenciales incorrectas — el endpoint los procesa). El sexto devuelve 429 (Too Many Requests) — Nginx lo rechaza antes de llegar al servicio. El Security Monkey tiene exactamente esta prueba en sus 27 assertions.</w:t>
      </w:r>
    </w:p>
    <w:p>
      <w:pPr>
        <w:spacing w:after="160"/>
      </w:pPr>
      <w:r>
        <w:rPr>
          <w:b/>
          <w:color w:val="707070"/>
          <w:sz w:val="18"/>
        </w:rPr>
        <w:t xml:space="preserve">Evidencia: </w:t>
      </w:r>
      <w:r>
        <w:rPr>
          <w:rFonts w:ascii="Courier New" w:hAnsi="Courier New"/>
          <w:color w:val="707070"/>
          <w:sz w:val="18"/>
        </w:rPr>
        <w:t>api-gateway/nginx.conf zona auth_limit + scripts/chaos/security_monkey.sh</w:t>
      </w:r>
    </w:p>
    <w:p>
      <w:pPr>
        <w:spacing w:before="160" w:after="40"/>
      </w:pPr>
      <w:r>
        <w:rPr>
          <w:b/>
          <w:color w:val="1F4E79"/>
          <w:sz w:val="22"/>
        </w:rPr>
        <w:t>P20: ¿Qué es el Idempotency-Key y para qué sirve?</w:t>
      </w:r>
    </w:p>
    <w:p>
      <w:pPr>
        <w:spacing w:after="60"/>
      </w:pPr>
      <w:r>
        <w:rPr>
          <w:b w:val="0"/>
          <w:i w:val="0"/>
          <w:sz w:val="21"/>
        </w:rPr>
        <w:t xml:space="preserve">Header que el cliente envía en POST /checkout. Si el cliente envía el mismo checkout dos veces (doble-click, pérdida de conexión, retry del frontend), el segundo request devuelve la Order existente en lugar de ejecutar la SAGA de nuevo — evitando cobrar dos veces. El valor debe ser único por intento (típicamente UUID generado por el frontend). En los tests usamos </w:t>
      </w:r>
      <w:r>
        <w:rPr>
          <w:rFonts w:ascii="Courier New" w:hAnsi="Courier New"/>
          <w:color w:val="C7254E"/>
          <w:sz w:val="19"/>
        </w:rPr>
        <w:t>Idempotency-Key: e2e-$(date +%s)</w:t>
      </w:r>
      <w:r>
        <w:rPr>
          <w:b w:val="0"/>
          <w:i w:val="0"/>
          <w:sz w:val="21"/>
        </w:rPr>
        <w:t>.</w:t>
      </w:r>
    </w:p>
    <w:p>
      <w:pPr>
        <w:spacing w:after="160"/>
      </w:pPr>
      <w:r>
        <w:rPr>
          <w:b/>
          <w:color w:val="707070"/>
          <w:sz w:val="18"/>
        </w:rPr>
        <w:t xml:space="preserve">Evidencia: </w:t>
      </w:r>
      <w:r>
        <w:rPr>
          <w:rFonts w:ascii="Courier New" w:hAnsi="Courier New"/>
          <w:color w:val="707070"/>
          <w:sz w:val="18"/>
        </w:rPr>
        <w:t>commerce-service/app/api/checkout.py + scripts/e2e/flujo_completo.sh línea 117</w:t>
      </w:r>
    </w:p>
    <w:p>
      <w:pPr>
        <w:pStyle w:val="Heading1"/>
        <w:spacing w:before="240" w:after="80"/>
      </w:pPr>
      <w:r>
        <w:t>Checklist de demostración en vivo</w:t>
      </w:r>
    </w:p>
    <w:p>
      <w:pPr>
        <w:spacing w:after="120"/>
      </w:pPr>
      <w:r>
        <w:rPr>
          <w:b w:val="0"/>
          <w:i w:val="0"/>
          <w:sz w:val="22"/>
        </w:rPr>
        <w:t>Secuencia recomendada para la sustentación (ejecutar en orden):</w:t>
      </w:r>
    </w:p>
    <w:p>
      <w:pPr>
        <w:spacing w:before="0" w:after="0"/>
        <w:ind w:left="283"/>
        <w:shd w:val="clear" w:color="auto" w:fill="F2F2F2"/>
      </w:pPr>
      <w:r>
        <w:rPr>
          <w:rFonts w:ascii="Courier New" w:hAnsi="Courier New"/>
          <w:sz w:val="18"/>
        </w:rPr>
        <w:t># 1. Mostrar contenedores corriendo</w:t>
      </w:r>
    </w:p>
    <w:p>
      <w:pPr>
        <w:spacing w:before="0" w:after="0"/>
        <w:ind w:left="283"/>
        <w:shd w:val="clear" w:color="auto" w:fill="F2F2F2"/>
      </w:pPr>
      <w:r>
        <w:rPr>
          <w:rFonts w:ascii="Courier New" w:hAnsi="Courier New"/>
          <w:sz w:val="18"/>
        </w:rPr>
        <w:t>docker compose ps</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2. Healthchecks</w:t>
      </w:r>
    </w:p>
    <w:p>
      <w:pPr>
        <w:spacing w:before="0" w:after="0"/>
        <w:ind w:left="283"/>
        <w:shd w:val="clear" w:color="auto" w:fill="F2F2F2"/>
      </w:pPr>
      <w:r>
        <w:rPr>
          <w:rFonts w:ascii="Courier New" w:hAnsi="Courier New"/>
          <w:sz w:val="18"/>
        </w:rPr>
        <w:t>for s in gateway auth catalog inventory commerce payment; do</w:t>
      </w:r>
    </w:p>
    <w:p>
      <w:pPr>
        <w:spacing w:before="0" w:after="0"/>
        <w:ind w:left="283"/>
        <w:shd w:val="clear" w:color="auto" w:fill="F2F2F2"/>
      </w:pPr>
      <w:r>
        <w:rPr>
          <w:rFonts w:ascii="Courier New" w:hAnsi="Courier New"/>
          <w:sz w:val="18"/>
        </w:rPr>
        <w:t xml:space="preserve">  echo -n "$s: "; curl -s "http://localhost/health/$s"</w:t>
      </w:r>
    </w:p>
    <w:p>
      <w:pPr>
        <w:spacing w:before="0" w:after="0"/>
        <w:ind w:left="283"/>
        <w:shd w:val="clear" w:color="auto" w:fill="F2F2F2"/>
      </w:pPr>
      <w:r>
        <w:rPr>
          <w:rFonts w:ascii="Courier New" w:hAnsi="Courier New"/>
          <w:sz w:val="18"/>
        </w:rPr>
        <w:t xml:space="preserve">  echo</w:t>
      </w:r>
    </w:p>
    <w:p>
      <w:pPr>
        <w:spacing w:before="0" w:after="0"/>
        <w:ind w:left="283"/>
        <w:shd w:val="clear" w:color="auto" w:fill="F2F2F2"/>
      </w:pPr>
      <w:r>
        <w:rPr>
          <w:rFonts w:ascii="Courier New" w:hAnsi="Courier New"/>
          <w:sz w:val="18"/>
        </w:rPr>
        <w:t>done</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3. Login admin (guardar token)</w:t>
      </w:r>
    </w:p>
    <w:p>
      <w:pPr>
        <w:spacing w:before="0" w:after="0"/>
        <w:ind w:left="283"/>
        <w:shd w:val="clear" w:color="auto" w:fill="F2F2F2"/>
      </w:pPr>
      <w:r>
        <w:rPr>
          <w:rFonts w:ascii="Courier New" w:hAnsi="Courier New"/>
          <w:sz w:val="18"/>
        </w:rPr>
        <w:t>TOKEN=$(curl -s -X POST http://localhost/api/auth/login \</w:t>
      </w:r>
    </w:p>
    <w:p>
      <w:pPr>
        <w:spacing w:before="0" w:after="0"/>
        <w:ind w:left="283"/>
        <w:shd w:val="clear" w:color="auto" w:fill="F2F2F2"/>
      </w:pPr>
      <w:r>
        <w:rPr>
          <w:rFonts w:ascii="Courier New" w:hAnsi="Courier New"/>
          <w:sz w:val="18"/>
        </w:rPr>
        <w:t xml:space="preserve">  -H "Content-Type: application/json" \</w:t>
      </w:r>
    </w:p>
    <w:p>
      <w:pPr>
        <w:spacing w:before="0" w:after="0"/>
        <w:ind w:left="283"/>
        <w:shd w:val="clear" w:color="auto" w:fill="F2F2F2"/>
      </w:pPr>
      <w:r>
        <w:rPr>
          <w:rFonts w:ascii="Courier New" w:hAnsi="Courier New"/>
          <w:sz w:val="18"/>
        </w:rPr>
        <w:t xml:space="preserve">  -d '{"email":"admin@tienda.com","password":"Admin1234*"}' | python -c "import sys,json;print(json.load(sys.stdin)['access_token'])")</w:t>
      </w:r>
    </w:p>
    <w:p>
      <w:pPr>
        <w:spacing w:before="0" w:after="0"/>
        <w:ind w:left="283"/>
        <w:shd w:val="clear" w:color="auto" w:fill="F2F2F2"/>
      </w:pPr>
      <w:r>
        <w:rPr>
          <w:rFonts w:ascii="Courier New" w:hAnsi="Courier New"/>
          <w:sz w:val="18"/>
        </w:rPr>
        <w:t>echo "Admin token: ${TOKEN:0:50}..."</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4. Catálogo público (Cache-Aside activo)</w:t>
      </w:r>
    </w:p>
    <w:p>
      <w:pPr>
        <w:spacing w:before="0" w:after="0"/>
        <w:ind w:left="283"/>
        <w:shd w:val="clear" w:color="auto" w:fill="F2F2F2"/>
      </w:pPr>
      <w:r>
        <w:rPr>
          <w:rFonts w:ascii="Courier New" w:hAnsi="Courier New"/>
          <w:sz w:val="18"/>
        </w:rPr>
        <w:t>curl -s http://localhost/api/products | python -m json.tool | head -20</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5. Estado del Circuit Breaker (debe ser CLOSED)</w:t>
      </w:r>
    </w:p>
    <w:p>
      <w:pPr>
        <w:spacing w:before="0" w:after="0"/>
        <w:ind w:left="283"/>
        <w:shd w:val="clear" w:color="auto" w:fill="F2F2F2"/>
      </w:pPr>
      <w:r>
        <w:rPr>
          <w:rFonts w:ascii="Courier New" w:hAnsi="Courier New"/>
          <w:sz w:val="18"/>
        </w:rPr>
        <w:t>curl -s http://localhost/api/payments/circuit/state \</w:t>
      </w:r>
    </w:p>
    <w:p>
      <w:pPr>
        <w:spacing w:before="0" w:after="0"/>
        <w:ind w:left="283"/>
        <w:shd w:val="clear" w:color="auto" w:fill="F2F2F2"/>
      </w:pPr>
      <w:r>
        <w:rPr>
          <w:rFonts w:ascii="Courier New" w:hAnsi="Courier New"/>
          <w:sz w:val="18"/>
        </w:rPr>
        <w:t xml:space="preserve">  -H "Authorization: Bearer $TOKEN" | python -m json.tool</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6. Abrir CB con 5 fallos consecutivos</w:t>
      </w:r>
    </w:p>
    <w:p>
      <w:pPr>
        <w:spacing w:before="0" w:after="0"/>
        <w:ind w:left="283"/>
        <w:shd w:val="clear" w:color="auto" w:fill="F2F2F2"/>
      </w:pPr>
      <w:r>
        <w:rPr>
          <w:rFonts w:ascii="Courier New" w:hAnsi="Courier New"/>
          <w:sz w:val="18"/>
        </w:rPr>
        <w:t>for i in 1 2 3 4 5; do</w:t>
      </w:r>
    </w:p>
    <w:p>
      <w:pPr>
        <w:spacing w:before="0" w:after="0"/>
        <w:ind w:left="283"/>
        <w:shd w:val="clear" w:color="auto" w:fill="F2F2F2"/>
      </w:pPr>
      <w:r>
        <w:rPr>
          <w:rFonts w:ascii="Courier New" w:hAnsi="Courier New"/>
          <w:sz w:val="18"/>
        </w:rPr>
        <w:t xml:space="preserve">  curl -s -X POST http://localhost/api/payments \</w:t>
      </w:r>
    </w:p>
    <w:p>
      <w:pPr>
        <w:spacing w:before="0" w:after="0"/>
        <w:ind w:left="283"/>
        <w:shd w:val="clear" w:color="auto" w:fill="F2F2F2"/>
      </w:pPr>
      <w:r>
        <w:rPr>
          <w:rFonts w:ascii="Courier New" w:hAnsi="Courier New"/>
          <w:sz w:val="18"/>
        </w:rPr>
        <w:t xml:space="preserve">    -H "Authorization: Bearer $TOKEN" \</w:t>
      </w:r>
    </w:p>
    <w:p>
      <w:pPr>
        <w:spacing w:before="0" w:after="0"/>
        <w:ind w:left="283"/>
        <w:shd w:val="clear" w:color="auto" w:fill="F2F2F2"/>
      </w:pPr>
      <w:r>
        <w:rPr>
          <w:rFonts w:ascii="Courier New" w:hAnsi="Courier New"/>
          <w:sz w:val="18"/>
        </w:rPr>
        <w:t xml:space="preserve">    -H "Content-Type: application/json" \</w:t>
      </w:r>
    </w:p>
    <w:p>
      <w:pPr>
        <w:spacing w:before="0" w:after="0"/>
        <w:ind w:left="283"/>
        <w:shd w:val="clear" w:color="auto" w:fill="F2F2F2"/>
      </w:pPr>
      <w:r>
        <w:rPr>
          <w:rFonts w:ascii="Courier New" w:hAnsi="Courier New"/>
          <w:sz w:val="18"/>
        </w:rPr>
        <w:t xml:space="preserve">    -d "{"order_id":"demo-$i","amount":100.88}" &gt; /dev/null</w:t>
      </w:r>
    </w:p>
    <w:p>
      <w:pPr>
        <w:spacing w:before="0" w:after="0"/>
        <w:ind w:left="283"/>
        <w:shd w:val="clear" w:color="auto" w:fill="F2F2F2"/>
      </w:pPr>
      <w:r>
        <w:rPr>
          <w:rFonts w:ascii="Courier New" w:hAnsi="Courier New"/>
          <w:sz w:val="18"/>
        </w:rPr>
        <w:t xml:space="preserve">  echo "Fallo $i disparado"</w:t>
      </w:r>
    </w:p>
    <w:p>
      <w:pPr>
        <w:spacing w:before="0" w:after="0"/>
        <w:ind w:left="283"/>
        <w:shd w:val="clear" w:color="auto" w:fill="F2F2F2"/>
      </w:pPr>
      <w:r>
        <w:rPr>
          <w:rFonts w:ascii="Courier New" w:hAnsi="Courier New"/>
          <w:sz w:val="18"/>
        </w:rPr>
        <w:t>done</w:t>
      </w:r>
    </w:p>
    <w:p>
      <w:pPr>
        <w:spacing w:before="0" w:after="0"/>
        <w:ind w:left="283"/>
        <w:shd w:val="clear" w:color="auto" w:fill="F2F2F2"/>
      </w:pPr>
      <w:r>
        <w:rPr>
          <w:rFonts w:ascii="Courier New" w:hAnsi="Courier New"/>
          <w:sz w:val="18"/>
        </w:rPr>
        <w:t>curl -s http://localhost/api/payments/circuit/state \</w:t>
      </w:r>
    </w:p>
    <w:p>
      <w:pPr>
        <w:spacing w:before="0" w:after="0"/>
        <w:ind w:left="283"/>
        <w:shd w:val="clear" w:color="auto" w:fill="F2F2F2"/>
      </w:pPr>
      <w:r>
        <w:rPr>
          <w:rFonts w:ascii="Courier New" w:hAnsi="Courier New"/>
          <w:sz w:val="18"/>
        </w:rPr>
        <w:t xml:space="preserve">  -H "Authorization: Bearer $TOKEN" | python -c "import sys,json;d=json.load(sys.stdin);print('CB:', d['state'], '| Failures:', d['failures'])"</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7. Resetear CB</w:t>
      </w:r>
    </w:p>
    <w:p>
      <w:pPr>
        <w:spacing w:before="0" w:after="0"/>
        <w:ind w:left="283"/>
        <w:shd w:val="clear" w:color="auto" w:fill="F2F2F2"/>
      </w:pPr>
      <w:r>
        <w:rPr>
          <w:rFonts w:ascii="Courier New" w:hAnsi="Courier New"/>
          <w:sz w:val="18"/>
        </w:rPr>
        <w:t>curl -s -X POST http://localhost/api/payments/circuit/reset \</w:t>
      </w:r>
    </w:p>
    <w:p>
      <w:pPr>
        <w:spacing w:before="0" w:after="0"/>
        <w:ind w:left="283"/>
        <w:shd w:val="clear" w:color="auto" w:fill="F2F2F2"/>
      </w:pPr>
      <w:r>
        <w:rPr>
          <w:rFonts w:ascii="Courier New" w:hAnsi="Courier New"/>
          <w:sz w:val="18"/>
        </w:rPr>
        <w:t xml:space="preserve">  -H "Authorization: Bearer $TOKEN"</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8. Abrir http://localhost:8025 → Mailhog (correos transaccionales)</w:t>
      </w:r>
    </w:p>
    <w:p>
      <w:pPr>
        <w:spacing w:before="0" w:after="0"/>
        <w:ind w:left="283"/>
        <w:shd w:val="clear" w:color="auto" w:fill="F2F2F2"/>
      </w:pPr>
      <w:r>
        <w:rPr>
          <w:rFonts w:ascii="Courier New" w:hAnsi="Courier New"/>
          <w:sz w:val="18"/>
        </w:rPr>
        <w:t># 9. Abrir http://localhost:8080 → phpMyAdmin (5 schemas aislados)</w:t>
      </w:r>
    </w:p>
    <w:p>
      <w:pPr>
        <w:spacing w:after="80"/>
      </w:pPr>
    </w:p>
    <w:p>
      <w:pPr>
        <w:pStyle w:val="Heading1"/>
        <w:spacing w:before="240" w:after="80"/>
      </w:pPr>
      <w:r>
        <w:t>Frases clave para la sustentación</w:t>
      </w:r>
    </w:p>
    <w:p>
      <w:pPr>
        <w:pStyle w:val="ListBullet"/>
        <w:spacing w:after="100"/>
      </w:pPr>
      <w:r>
        <w:rPr>
          <w:i/>
          <w:sz w:val="22"/>
        </w:rPr>
        <w:t>"La SAGA orquestada síncrona garantiza que nunca se cobra al cliente si no hay stock, y nunca se descuenta stock si el pago no fue aprobado."</w:t>
      </w:r>
    </w:p>
    <w:p>
      <w:pPr>
        <w:pStyle w:val="ListBullet"/>
        <w:spacing w:after="100"/>
      </w:pPr>
      <w:r>
        <w:rPr>
          <w:i/>
          <w:sz w:val="22"/>
        </w:rPr>
        <w:t>"El Circuit Breaker protege al sistema de esperar timeouts cuando la pasarela ya sabemos que está caída."</w:t>
      </w:r>
    </w:p>
    <w:p>
      <w:pPr>
        <w:pStyle w:val="ListBullet"/>
        <w:spacing w:after="100"/>
      </w:pPr>
      <w:r>
        <w:rPr>
          <w:i/>
          <w:sz w:val="22"/>
        </w:rPr>
        <w:t>"El Conformity Monkey verifica que el aislamiento de datos es real — un usuario MySQL no puede cruzar al schema de otro servicio."</w:t>
      </w:r>
    </w:p>
    <w:p>
      <w:pPr>
        <w:pStyle w:val="ListBullet"/>
        <w:spacing w:after="100"/>
      </w:pPr>
      <w:r>
        <w:rPr>
          <w:i/>
          <w:sz w:val="22"/>
        </w:rPr>
        <w:t>"El monolito legacy está preservado en backend_legacy_monolito/ como evidencia del punto de partida de la migración."</w:t>
      </w:r>
    </w:p>
    <w:p>
      <w:pPr>
        <w:pStyle w:val="ListBullet"/>
        <w:spacing w:after="100"/>
      </w:pPr>
      <w:r>
        <w:rPr>
          <w:i/>
          <w:sz w:val="22"/>
        </w:rPr>
        <w:t>"133 verificaciones automatizadas — no hay un solo claim sobre el sistema que no esté respaldado por código ejecutable."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