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6120000" cy="33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۱. شناسنامه طرح روی جلد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213"/>
        <w:gridCol w:w="3213"/>
        <w:gridCol w:w="3213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283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عنوان</w:t>
            </w:r>
          </w:p>
        </w:tc>
        <w:tc>
          <w:tcPr>
            <w:tcW w:type="dxa" w:w="5669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شرح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حوزه فناوری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تجهیزات پزشکی و دارو و سلامت به‌همراه فناوری اطلاعات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مدت اجرا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دوازده ماه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خروجی اصلی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نمونه محصول و مجموعه‌داده بومی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رویکرد فنی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آموزش و استقرار کاملاً محلی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هسته پشته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مدل یولو مبتنی بر پایتون</w:t>
            </w:r>
          </w:p>
        </w:tc>
      </w:tr>
    </w:tbl>
    <w:p/>
    <w:p>
      <w:pPr>
        <w:spacing w:after="160" w:before="160" w:line="360" w:lineRule="auto"/>
        <w:jc w:val="center"/>
        <w:bidi w:val="1"/>
      </w:pPr>
      <w:r>
        <w:rPr>
          <w:rFonts w:ascii="Vazirmatn" w:hAnsi="Vazirmatn" w:eastAsia="Vazirmatn" w:cs="Vazirmatn"/>
          <w:b w:val="0"/>
          <w:color w:val="5A6B6B"/>
          <w:rtl w:val="1"/>
          <w:cs/>
          <w:sz w:val="20"/>
          <w:szCs w:val="20"/>
        </w:rPr>
        <w:t>نسخه فارسی رسمی با جداول شماره‌دار و نمودارها</w:t>
      </w:r>
    </w:p>
    <w:p>
      <w:pPr>
        <w:spacing w:after="120" w:before="0" w:line="360" w:lineRule="auto"/>
        <w:jc w:val="center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0"/>
          <w:szCs w:val="20"/>
        </w:rPr>
        <w:t>قلم وزیرمتن · چینش راست‌به‌چپ · هسته یولو · محرمانگی داده بیمار</w:t>
      </w:r>
    </w:p>
    <w:p>
      <w:r>
        <w:br w:type="page"/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فهرست مطالب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۱. درک سند و الزامات طرح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۲. مشخصات کلی طرح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۳. تعریف مسأله و اهداف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۴. مسیر اجرایی پیشنهادی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۵. پشته فناوری با هسته یولو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۶. روش آموزش مدل به‌صورت محلی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۷. مقایسه آموزش محلی و ابری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۸. ذخیره‌سازی و محرمانگی داده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۹. شیوه همکاری با بیمارستان‌ها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۱۰. زمان‌بندی دوازده‌ماهه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۱۱. چالش‌ها، دستاوردها و تجاری‌سازی</w:t>
      </w:r>
    </w:p>
    <w:p>
      <w:pPr>
        <w:spacing w:after="8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۱۲. جمع‌بندی و توصیه نهایی</w:t>
      </w:r>
    </w:p>
    <w:p>
      <w:r>
        <w:br w:type="page"/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۱. درک سند و الزامات طرح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سند مبنا یک فرم درخواست طرح توسعه فناوری است. هدف، ساخت سامانه پشتیبان تصمیم‌گیری بالینی برای غربالگری سرطان دهانه رحم بر پایه تصاویر تمام‌اسلاید پاپ اسمیر و اطلاعات بالینی بیماران ایرانی است. در این نسخه، هسته یادگیری ماشین بر مدل یولو در محیط پایتون قرار گرفته تا تشخیص و طبقه‌بندی سلول‌های مشکوک در یک جریان واحد و قابل نگهداری انجام شود.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۲. الزامات سند و برداشت اجرایی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213"/>
        <w:gridCol w:w="3213"/>
        <w:gridCol w:w="3213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3969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الزام سند</w:t>
            </w:r>
          </w:p>
        </w:tc>
        <w:tc>
          <w:tcPr>
            <w:tcW w:type="dxa" w:w="453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برداشت اجرایی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39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تحلیل مستقیم اسلاید کامل</w:t>
            </w:r>
          </w:p>
        </w:tc>
        <w:tc>
          <w:tcPr>
            <w:tcW w:type="dxa" w:w="45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برش خودکار قطعات تصویر بدون برش دستی سلول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39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طبقه‌بندی نرمال و غیرنرمال</w:t>
            </w:r>
          </w:p>
        </w:tc>
        <w:tc>
          <w:tcPr>
            <w:tcW w:type="dxa" w:w="45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مدل یولو برای مکان‌یابی و طبقه سلول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39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ادغام داده بالینی</w:t>
            </w:r>
          </w:p>
        </w:tc>
        <w:tc>
          <w:tcPr>
            <w:tcW w:type="dxa" w:w="45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سن، سابقه درمان و علائم در تصمیم نهایی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39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مجموعه‌داده بومی</w:t>
            </w:r>
          </w:p>
        </w:tc>
        <w:tc>
          <w:tcPr>
            <w:tcW w:type="dxa" w:w="45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نمونه‌های واقعی ایرانی با استانداردسازی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39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ارزیابی دقت و حساسیت</w:t>
            </w:r>
          </w:p>
        </w:tc>
        <w:tc>
          <w:tcPr>
            <w:tcW w:type="dxa" w:w="45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شاخص‌های کمی به‌همراه پایلوت بالینی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39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نمونه محصول و دادگان</w:t>
            </w:r>
          </w:p>
        </w:tc>
        <w:tc>
          <w:tcPr>
            <w:tcW w:type="dxa" w:w="45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نمونه قابل استقرار و دیتاست نسخه‌دار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۷</w:t>
            </w:r>
          </w:p>
        </w:tc>
        <w:tc>
          <w:tcPr>
            <w:tcW w:type="dxa" w:w="39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چالش محرمانگی</w:t>
            </w:r>
          </w:p>
        </w:tc>
        <w:tc>
          <w:tcPr>
            <w:tcW w:type="dxa" w:w="45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آموزش و استنتاج کاملاً محلی</w:t>
            </w:r>
          </w:p>
        </w:tc>
      </w:tr>
    </w:tbl>
    <w:p/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۲. مشخصات کلی طرح</w:t>
      </w:r>
    </w:p>
    <w:p>
      <w:pPr>
        <w:spacing w:after="120" w:before="28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6"/>
          <w:szCs w:val="26"/>
        </w:rPr>
        <w:t>عنوان طرح</w:t>
      </w:r>
    </w:p>
    <w:p>
      <w:pPr>
        <w:spacing w:after="160" w:before="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توسعه سامانه هوشمند شناسایی و طبقه‌بندی ناهنجاری‌های سیتولوژیک در نمونه‌های پاپ اسمیر به‌منظور تشخیص سرطان دهانه رحم در بانوان با کمک هوش مصنوعی</w:t>
      </w:r>
    </w:p>
    <w:p>
      <w:pPr>
        <w:spacing w:after="120" w:before="28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6"/>
          <w:szCs w:val="26"/>
        </w:rPr>
        <w:t>خلاصه دقیق طرح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سرطان دهانه رحم از شایع‌ترین سرطان‌های قابل پیشگیری در زنان است و تشخیص زودهنگام نقش تعیین‌کننده‌ای در کاهش مرگ‌ومیر و هزینه درمان دارد. تفسیر پاپ اسمیر وابسته به نیروی متخصص است و با خطای انسانی، زمان‌بر بودن و کمبود پاتولوژیست همراه است. این طرح یک سامانه بومی می‌سازد که تصاویر تمام‌اسلاید را می‌خواند، با مدل یولو سلول‌ها را مکان‌یابی و به‌عنوان نرمال یا غیرنرمال طبقه‌بندی می‌کند، و اطلاعات بالینی را در امتیاز نهایی ادغام می‌نماید. آموزش روی زیرساخت داخلی انجام می‌شود تا داده بیمار از شبکه مرکز درمانی خارج نشود.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۳. فیلدهای اصلی فرم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213"/>
        <w:gridCol w:w="3213"/>
        <w:gridCol w:w="3213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283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فیلد</w:t>
            </w:r>
          </w:p>
        </w:tc>
        <w:tc>
          <w:tcPr>
            <w:tcW w:type="dxa" w:w="5953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مقدار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کلمات کلیدی</w:t>
            </w:r>
          </w:p>
        </w:tc>
        <w:tc>
          <w:tcPr>
            <w:tcW w:type="dxa" w:w="5953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پاپ اسمیر دیجیتال، هوش مصنوعی، یولو، سرطان دهانه رحم، پاتولوژی دیجیتال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مدت اجرا</w:t>
            </w:r>
          </w:p>
        </w:tc>
        <w:tc>
          <w:tcPr>
            <w:tcW w:type="dxa" w:w="5953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دوازده ماه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حوزه فناوری</w:t>
            </w:r>
          </w:p>
        </w:tc>
        <w:tc>
          <w:tcPr>
            <w:tcW w:type="dxa" w:w="5953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تجهیزات پزشکی و سلامت به‌همراه فناوری اطلاعات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کاربرد نتایج</w:t>
            </w:r>
          </w:p>
        </w:tc>
        <w:tc>
          <w:tcPr>
            <w:tcW w:type="dxa" w:w="5953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تولید نمونه محصول و تهیه دادگان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شیوه دانش فنی</w:t>
            </w:r>
          </w:p>
        </w:tc>
        <w:tc>
          <w:tcPr>
            <w:tcW w:type="dxa" w:w="5953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توسعه و تحقیق داخلی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بازار هدف</w:t>
            </w:r>
          </w:p>
        </w:tc>
        <w:tc>
          <w:tcPr>
            <w:tcW w:type="dxa" w:w="5953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ملی و بین‌المللی</w:t>
            </w:r>
          </w:p>
        </w:tc>
      </w:tr>
    </w:tbl>
    <w:p/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۳. تعریف مسأله و اهداف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مسأله اصلی، نبود سامانه بومی و چندوجهی است که بتواند تصویر پاپ اسمیر را با داده بالینی ترکیب کند، روی زیرساخت محلی آموزش ببیند و در مراکز درمانی به‌کار رود. بسیاری از سکوهای خارجی ابری‌اند، با شرایط جمعیتی کشور منطبق نیستند و محرمانگی را تهدید می‌کنند.</w:t>
      </w:r>
    </w:p>
    <w:p>
      <w:pPr>
        <w:spacing w:after="120" w:before="28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6"/>
          <w:szCs w:val="26"/>
        </w:rPr>
        <w:t>اهداف پنج‌گانه طرح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۱. طراحی و پیاده‌سازی الگوریتم هوشمند مبتنی بر یولو برای تحلیل تصاویر پاپ اسمیر دیجیتال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۲. توسعه مدل تشخیص و طبقه‌بندی سلول‌های نرمال و غیرنرمال دهانه رحم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۳. ادغام داده‌های تصویری و اطلاعات بالینی بیماران در فرآیند تصمیم‌گیری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۴. ایجاد مجموعه‌داده بومی استاندارد از تصاویر پاپ اسمیر و داده‌های بالینی مرتبط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۵. ارزیابی عملکرد سامانه از نظر دقت، حساسیت و قابلیت استفاده بالینی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۴. مسیر اجرایی پیشنهادی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۱) انعقاد تفاهم با بیمارستان یا دانشگاه علوم پزشکی و اخذ مجوز اخلاق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۲) راه‌اندازی مخزن داده محلی و پروتکل بی‌نام‌سازی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۳) برچسب‌گذاری جعبه‌ای سلول‌ها در سامانه محلی برچسب و ساخت دیتاست بومی سازگار با یولو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۴) آموزش مدل یولو روی پردازنده گرافیکی داخلی و تنظیم آستانه حساسیت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۵) ادغام امتیاز یولو با متغیرهای بالینی در لایه تصمیم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۶) استقرار نمونه سامانه پشتیبان تصمیم روی شبکه داخلی بیمارستان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۷) پایلوت بالینی، بازخورد پاتولوژیست، مستندسازی و بسته تجاری‌سازی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۵. پشته فناوری با هسته یولو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پشته برای سادگی نگهداری فشرده شده و هسته آن جزء ۴ یعنی مدل یولو در پایتون است. اجزای خواندن اسلاید، برچسب‌گذاری و ذخیره امن ورودی مدل را آماده می‌کنند و ادغام بالینی و خدمت بیمارستانی خروجی را به پزشک می‌رسانند.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۴. اجزای پشته فناوری فشرده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283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نام جزء</w:t>
            </w:r>
          </w:p>
        </w:tc>
        <w:tc>
          <w:tcPr>
            <w:tcW w:type="dxa" w:w="34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نقش اصلی</w:t>
            </w:r>
          </w:p>
        </w:tc>
        <w:tc>
          <w:tcPr>
            <w:tcW w:type="dxa" w:w="2551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خروجی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خواندن اسلاید کامل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بازکردن پرونده اسلاید و برش قطعات</w:t>
            </w:r>
          </w:p>
        </w:tc>
        <w:tc>
          <w:tcPr>
            <w:tcW w:type="dxa" w:w="2551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قطعات تصویر با مختصات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سامانه برچسب‌گذاری محلی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ترسیم جعبه توسط پاتولوژیست</w:t>
            </w:r>
          </w:p>
        </w:tc>
        <w:tc>
          <w:tcPr>
            <w:tcW w:type="dxa" w:w="2551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برچسب سازگار با آموزش یولو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ذخیره امن محلی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نگهداری اسلاید و برچسب و بالینی</w:t>
            </w:r>
          </w:p>
        </w:tc>
        <w:tc>
          <w:tcPr>
            <w:tcW w:type="dxa" w:w="2551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مخزن نسخه‌دار مرکز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هسته یولو در پایتون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تشخیص مکان سلول و طبقه نرمال یا غیرنرمال</w:t>
            </w:r>
          </w:p>
        </w:tc>
        <w:tc>
          <w:tcPr>
            <w:tcW w:type="dxa" w:w="2551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جعبه‌ها و احتمال طبقه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ادغام اطلاعات بالینی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ترکیب امتیاز تصویر با سن و سابقه و علائم</w:t>
            </w:r>
          </w:p>
        </w:tc>
        <w:tc>
          <w:tcPr>
            <w:tcW w:type="dxa" w:w="2551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امتیاز خطر کیس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خدمت سامانه پشتیبان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ارائه نتیجه روی شبکه داخلی</w:t>
            </w:r>
          </w:p>
        </w:tc>
        <w:tc>
          <w:tcPr>
            <w:tcW w:type="dxa" w:w="2551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پیشنهاد برای تأیید پزشک</w:t>
            </w:r>
          </w:p>
        </w:tc>
      </w:tr>
    </w:tbl>
    <w:p/>
    <w:p>
      <w:pPr>
        <w:spacing w:after="160" w:before="8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نمودار جریان پشته:</w:t>
      </w:r>
    </w:p>
    <w:p>
      <w:pPr>
        <w:spacing w:after="200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5832000" cy="31561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t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56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8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6"/>
          <w:szCs w:val="26"/>
        </w:rPr>
        <w:t>توضیح اجزا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جزء ۱ اسلایدهای گیگاپیکسلی را به قطعات قابل آموزش تبدیل می‌کند. جزء ۲ با یک مدل یولو هم‌زمان مکان سلول مشکوک و طبقه آن را می‌آموزد و این کار را ساده‌تر از زنجیره جداگانه تقسیم‌بندی و طبقه‌بندی نگه می‌دارد. جزء ۳ برچسب جعبه‌ای تولید می‌کند. جزء ۴ الزام فرم برای داده بالینی را پوشش می‌دهد. جزء ۵ نمونه محصول قابل استقرار در بیمارستان است. ذخیره امن داده نیز کنار این اجزا روی مخزن محلی مرکز درمانی انجام می‌شود.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۶. روش آموزش مدل به‌صورت محلی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۵. مراحل آموزش محلی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2268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مرحله</w:t>
            </w:r>
          </w:p>
        </w:tc>
        <w:tc>
          <w:tcPr>
            <w:tcW w:type="dxa" w:w="368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اقدام</w:t>
            </w:r>
          </w:p>
        </w:tc>
        <w:tc>
          <w:tcPr>
            <w:tcW w:type="dxa" w:w="283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خروجی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آماده‌سازی قطعات</w:t>
            </w:r>
          </w:p>
        </w:tc>
        <w:tc>
          <w:tcPr>
            <w:tcW w:type="dxa" w:w="368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برش اسلاید و پالایش کیفیت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مجموعه قطعات آموزش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برچسب جعبه‌ای</w:t>
            </w:r>
          </w:p>
        </w:tc>
        <w:tc>
          <w:tcPr>
            <w:tcW w:type="dxa" w:w="368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ترسیم سلول نرمال و غیرنرمال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پرونده برچسب یولو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آموزش یولو</w:t>
            </w:r>
          </w:p>
        </w:tc>
        <w:tc>
          <w:tcPr>
            <w:tcW w:type="dxa" w:w="368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اجرا روی پردازنده گرافیکی داخلی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وزن مدل منتخب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ادغام بالینی</w:t>
            </w:r>
          </w:p>
        </w:tc>
        <w:tc>
          <w:tcPr>
            <w:tcW w:type="dxa" w:w="368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ترکیب امتیاز مدل با جدول بالینی</w:t>
            </w:r>
          </w:p>
        </w:tc>
        <w:tc>
          <w:tcPr>
            <w:tcW w:type="dxa" w:w="283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امتیاز خطر بیمار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ارزیابی</w:t>
            </w:r>
          </w:p>
        </w:tc>
        <w:tc>
          <w:tcPr>
            <w:tcW w:type="dxa" w:w="368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سنجش دقت و حساسیت روی داده نگه‌داشته</w:t>
            </w:r>
          </w:p>
        </w:tc>
        <w:tc>
          <w:tcPr>
            <w:tcW w:type="dxa" w:w="283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گزارش شاخص‌ها</w:t>
            </w:r>
          </w:p>
        </w:tc>
      </w:tr>
    </w:tbl>
    <w:p/>
    <w:p>
      <w:pPr>
        <w:spacing w:after="160" w:before="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اصول آموزش: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تقسیم داده بر اساس شناسه بیمار برای جلوگیری از نشت بین مجموعه‌ها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افزایش داده با چرخش و تغییر ظاهر رنگ‌آمیزی برای مقاومت به تنوع اسکنر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اولویت به حساسیت در غربالگری و تنظیم آستانه با نظر پاتولوژیست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آموزش فقط روی ایستگاه داخلی؛ بدون ارسال تصویر بیمار به سکوی ابری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نسخه‌گذاری وزن مدل و ثبت شاخص‌ها در گزارش‌های داخلی طرح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۷. مقایسه آموزش محلی و ابری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سکوهای ابری خارجی برای آزمایش روی داده عمومی مناسب‌اند، اما برای تصاویر و اطلاعات بالینی بیماران این طرح توصیه نمی‌شوند. پشته محلی با هسته یولو از نظر محرمانگی، هزینه و تناسب با اسلاید کامل برتری دارد.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۶. مقایسه رویکرد محلی و ابری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2268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معیار</w:t>
            </w:r>
          </w:p>
        </w:tc>
        <w:tc>
          <w:tcPr>
            <w:tcW w:type="dxa" w:w="34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پشته محلی با یولو</w:t>
            </w:r>
          </w:p>
        </w:tc>
        <w:tc>
          <w:tcPr>
            <w:tcW w:type="dxa" w:w="34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سکوی ابری خارجی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حریم خصوصی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داده در شبکه داخلی می‌ماند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وابسته به ابر فروشنده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تناسب با اسلاید کامل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با برش محلی و یولو کنترل می‌شود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غالباً برای تصویر معمولی طراحی شده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ادغام بالینی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لایه جدا و قابل سفارشی‌سازی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پشتیبانی ضعیف یا ناممکن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هزینه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خرید یک‌باره سخت‌افزار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اشتراک ماهانه و اعتبار مصرفی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تکرار آزمایش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نامحدود روی دستگاه داخلی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محدود به اعتبار و سقف طرح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پذیرش فناوری اطلاعات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قابل ایزوله در بیمارستان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اغلب برای داده بیمار مسدود</w:t>
            </w:r>
          </w:p>
        </w:tc>
      </w:tr>
    </w:tbl>
    <w:p/>
    <w:p>
      <w:pPr>
        <w:spacing w:after="160" w:before="8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نمودار مقایسه کیفی:</w:t>
      </w:r>
    </w:p>
    <w:p>
      <w:pPr>
        <w:spacing w:after="200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5580000" cy="29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iv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نمودار هزینه تقریبی سال اول:</w:t>
      </w:r>
    </w:p>
    <w:p>
      <w:pPr>
        <w:spacing w:after="200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5220000" cy="2908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نتیجه: آموزش و استنتاج محلی با هسته یولو انتخاب اصلی طرح است. استفاده از سکوی ابری فقط برای نمایش آموزشی روی داده عمومی مجاز است و داده بیمار نباید به آن وارد شود.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۸. ذخیره‌سازی و محرمانگی داده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۷. ساختار مخزن داده محلی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198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سطل داده</w:t>
            </w:r>
          </w:p>
        </w:tc>
        <w:tc>
          <w:tcPr>
            <w:tcW w:type="dxa" w:w="3685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محتوا</w:t>
            </w:r>
          </w:p>
        </w:tc>
        <w:tc>
          <w:tcPr>
            <w:tcW w:type="dxa" w:w="3118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قالب پیشنهادی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اسلاید خام</w:t>
            </w:r>
          </w:p>
        </w:tc>
        <w:tc>
          <w:tcPr>
            <w:tcW w:type="dxa" w:w="368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پرونده اصلی اسکنر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قالب‌های رایج اسلاید دیجیتال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قطعات تصویر</w:t>
            </w:r>
          </w:p>
        </w:tc>
        <w:tc>
          <w:tcPr>
            <w:tcW w:type="dxa" w:w="368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برش‌ها و مختصات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تصویر و جدول مختصات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برچسب‌ها</w:t>
            </w:r>
          </w:p>
        </w:tc>
        <w:tc>
          <w:tcPr>
            <w:tcW w:type="dxa" w:w="368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جعبه‌های سلول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قالب آموزش یولو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بالینی</w:t>
            </w:r>
          </w:p>
        </w:tc>
        <w:tc>
          <w:tcPr>
            <w:tcW w:type="dxa" w:w="368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فیلدهای بی‌نام بیمار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جدول ساخت‌یافته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مدل‌ها</w:t>
            </w:r>
          </w:p>
        </w:tc>
        <w:tc>
          <w:tcPr>
            <w:tcW w:type="dxa" w:w="3685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وزن و نسخه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بایگانی نسخه‌دار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ممیزی</w:t>
            </w:r>
          </w:p>
        </w:tc>
        <w:tc>
          <w:tcPr>
            <w:tcW w:type="dxa" w:w="3685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لاگ مشاهده و تأیید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پرونده الحاق‌شونده</w:t>
            </w:r>
          </w:p>
        </w:tc>
      </w:tr>
    </w:tbl>
    <w:p/>
    <w:p>
      <w:pPr>
        <w:spacing w:after="160" w:before="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قواعد محرمانگی: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عدم نگهداری نام و کد ملی و تلفن در پوشه آموزش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استفاده از شناسه برگشت‌ناپذیر مطالعه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جداسازی نگاشت شناسایی روی دیسک دسترسی‌محدود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رمزنگاری مخزن و نقش‌بندی دسترسی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ممنوعیت بارگذاری داده بیمار روی سکوهای ابری برچسب یا آموزش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پشتیبان روزانه محلی و نسخه سرد هفتگی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۹. شیوه همکاری با بیمارستان‌ها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اصل راهنما این است که نرم‌افزار، پروتکل، وزن مدل و بسته ارزیابی بی‌نام قابل اشتراک است؛ بایگانی خام قابل شناسایی بیماران به‌صورت عمومی منتقل نمی‌شود.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۸. حالت‌های همکاری بیمارستانی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2268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حالت همکاری</w:t>
            </w:r>
          </w:p>
        </w:tc>
        <w:tc>
          <w:tcPr>
            <w:tcW w:type="dxa" w:w="34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دریافتی مرکز</w:t>
            </w:r>
          </w:p>
        </w:tc>
        <w:tc>
          <w:tcPr>
            <w:tcW w:type="dxa" w:w="34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بازگشتی مرکز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شریک داده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پروتکل برچسب و قالب پروژه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اسلاید و بالینی بی‌نام روی مسیر امن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سایت پایلوت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بسته سامانه روی شبکه داخلی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بازخورد پزشک و شاخص استفاده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226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به‌روزرسانی مدل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وزن مدل جدید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شاخص‌های تجمیعی اختیاری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226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طرح چندمرکزی آتی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دستورعمل مشترک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خروجی بی‌نام هماهنگ</w:t>
            </w:r>
          </w:p>
        </w:tc>
      </w:tr>
    </w:tbl>
    <w:p/>
    <w:p>
      <w:pPr>
        <w:spacing w:after="160" w:before="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پیش‌نیازهای حکمرانی: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تأیید کمیته اخلاق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توافق‌نامه اشتراک داده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راستی‌آزمایی بی‌نام‌سازی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تعریف نقش دسترسی و مسئول پاسخ رخداد</w:t>
      </w:r>
    </w:p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۱۰. زمان‌بندی دوازده‌ماهه</w:t>
      </w:r>
    </w:p>
    <w:p>
      <w:pPr>
        <w:spacing w:after="200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5832000" cy="262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۹. فازهای اجرایی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198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فاز</w:t>
            </w:r>
          </w:p>
        </w:tc>
        <w:tc>
          <w:tcPr>
            <w:tcW w:type="dxa" w:w="198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بازه ماه</w:t>
            </w:r>
          </w:p>
        </w:tc>
        <w:tc>
          <w:tcPr>
            <w:tcW w:type="dxa" w:w="51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خروجی کلیدی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راه‌اندازی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 تا ۲</w:t>
            </w:r>
          </w:p>
        </w:tc>
        <w:tc>
          <w:tcPr>
            <w:tcW w:type="dxa" w:w="51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مجوز اخلاق، تفاهم‌نامه، سخت‌افزار و مخزن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داده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 تا ۵</w:t>
            </w:r>
          </w:p>
        </w:tc>
        <w:tc>
          <w:tcPr>
            <w:tcW w:type="dxa" w:w="51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دیتاست بومی نسخه یک با برچسب یولو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مدل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 تا ۸</w:t>
            </w:r>
          </w:p>
        </w:tc>
        <w:tc>
          <w:tcPr>
            <w:tcW w:type="dxa" w:w="51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مدل یولو و لایه ادغام بالینی با شاخص قابل قبول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سامانه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۷ تا ۱۰</w:t>
            </w:r>
          </w:p>
        </w:tc>
        <w:tc>
          <w:tcPr>
            <w:tcW w:type="dxa" w:w="51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نمونه سامانه پشتیبان روی شبکه داخلی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پایلوت</w:t>
            </w:r>
          </w:p>
        </w:tc>
        <w:tc>
          <w:tcPr>
            <w:tcW w:type="dxa" w:w="198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۹ تا ۱۱</w:t>
            </w:r>
          </w:p>
        </w:tc>
        <w:tc>
          <w:tcPr>
            <w:tcW w:type="dxa" w:w="51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گزارش قابلیت استفاده بالینی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اختتام</w:t>
            </w:r>
          </w:p>
        </w:tc>
        <w:tc>
          <w:tcPr>
            <w:tcW w:type="dxa" w:w="198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۱۱ تا ۱۲</w:t>
            </w:r>
          </w:p>
        </w:tc>
        <w:tc>
          <w:tcPr>
            <w:tcW w:type="dxa" w:w="51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مستندات، کارت دیتاست و بسته تجاری‌سازی</w:t>
            </w:r>
          </w:p>
        </w:tc>
      </w:tr>
    </w:tbl>
    <w:p/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۱۰. تناظر اهداف فرم با زمان تحقق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213"/>
        <w:gridCol w:w="3213"/>
        <w:gridCol w:w="3213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5669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هدف فرم</w:t>
            </w:r>
          </w:p>
        </w:tc>
        <w:tc>
          <w:tcPr>
            <w:tcW w:type="dxa" w:w="3118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ماه تحقق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الگوریتم تحلیل تصویر مبتنی بر یولو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ماه ۶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مدل نرمال و غیرنرمال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ماه ۸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ادغام بالینی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ماه ۹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مجموعه‌داده بومی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ماه ۵ و ماه ۱۱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ارزیابی دقت و حساسیت و کاربری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ماه‌های ۱۰ تا ۱۲</w:t>
            </w:r>
          </w:p>
        </w:tc>
      </w:tr>
    </w:tbl>
    <w:p/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۱۱. چالش‌ها، دستاوردها و تجاری‌سازی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۱۱. چالش‌ها و راهکارها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213"/>
        <w:gridCol w:w="3213"/>
        <w:gridCol w:w="3213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3402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چالش</w:t>
            </w:r>
          </w:p>
        </w:tc>
        <w:tc>
          <w:tcPr>
            <w:tcW w:type="dxa" w:w="5669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راهکار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کمبود دادگان بومی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همکاری با دانشگاه علوم پزشکی و چند مرکز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تنوع کیفیت لام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پروتکل استاندارد و افزایش داده و مدل مقاوم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محرمانگی بیمار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بی‌نام‌سازی و آموزش محلی و کنترل دسترسی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3402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عدم توازن طبقه</w:t>
            </w:r>
          </w:p>
        </w:tc>
        <w:tc>
          <w:tcPr>
            <w:tcW w:type="dxa" w:w="5669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وزن‌دهی خطا و آستانه حساسیت‌محور در یولو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3402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پیچیدگی نگهداری</w:t>
            </w:r>
          </w:p>
        </w:tc>
        <w:tc>
          <w:tcPr>
            <w:tcW w:type="dxa" w:w="5669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پشته فشرده با هسته واحد یولو</w:t>
            </w:r>
          </w:p>
        </w:tc>
      </w:tr>
    </w:tbl>
    <w:p/>
    <w:p>
      <w:pPr>
        <w:spacing w:after="120" w:before="28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6"/>
          <w:szCs w:val="26"/>
        </w:rPr>
        <w:t>سایر دستاوردها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انتشار مقالات علمی در مجلات و کنفرانس‌های معتبر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ایجاد مجموعه‌داده بومی قابل استفاده در پژوهش‌های آینده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توسعه نمونه اولیه سامانه تشخیص هوشمند با استقرار محلی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زمینه‌سازی برای ثبت اختراع یا تجاری‌سازی محصول</w:t>
      </w:r>
    </w:p>
    <w:p>
      <w:pPr>
        <w:spacing w:after="60" w:before="0" w:line="360" w:lineRule="auto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• ارتقاء کیفیت و هوشمندسازی فرآیندهای تشخیصی موجود در کشور</w:t>
      </w:r>
    </w:p>
    <w:p>
      <w:pPr>
        <w:spacing w:after="120" w:before="28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F6B6B"/>
          <w:rtl w:val="1"/>
          <w:cs/>
          <w:b/>
          <w:bCs/>
          <w:sz w:val="26"/>
          <w:szCs w:val="26"/>
        </w:rPr>
        <w:t>آمادگی تجاری‌سازی</w:t>
      </w:r>
    </w:p>
    <w:p>
      <w:pPr>
        <w:spacing w:after="80" w:before="200" w:line="360" w:lineRule="auto"/>
        <w:jc w:val="right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2"/>
          <w:szCs w:val="22"/>
        </w:rPr>
        <w:t>جدول ۱۲. وضعیت تجاری‌سازی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213"/>
        <w:gridCol w:w="3213"/>
        <w:gridCol w:w="3213"/>
      </w:tblGrid>
      <w:tr>
        <w:tc>
          <w:tcPr>
            <w:tcW w:type="dxa" w:w="794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ردیف</w:t>
            </w:r>
          </w:p>
        </w:tc>
        <w:tc>
          <w:tcPr>
            <w:tcW w:type="dxa" w:w="3118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عنوان</w:t>
            </w:r>
          </w:p>
        </w:tc>
        <w:tc>
          <w:tcPr>
            <w:tcW w:type="dxa" w:w="5953"/>
            <w:vAlign w:val="center"/>
            <w:shd w:fill="0A4F4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/>
                <w:color w:val="FFFFFF"/>
                <w:rtl w:val="1"/>
                <w:cs/>
                <w:b/>
                <w:bCs/>
                <w:sz w:val="20"/>
                <w:szCs w:val="20"/>
              </w:rPr>
              <w:t>پاسخ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۱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دستاورد نهایی</w:t>
            </w:r>
          </w:p>
        </w:tc>
        <w:tc>
          <w:tcPr>
            <w:tcW w:type="dxa" w:w="5953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تولید فناوری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۲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تمایل به تجاری‌سازی</w:t>
            </w:r>
          </w:p>
        </w:tc>
        <w:tc>
          <w:tcPr>
            <w:tcW w:type="dxa" w:w="5953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توسط تیم مجری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۳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بهره‌بردار اصلی</w:t>
            </w:r>
          </w:p>
        </w:tc>
        <w:tc>
          <w:tcPr>
            <w:tcW w:type="dxa" w:w="5953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تمامی بانوان در جمعیت غربالگری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۴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نهادهای استفاده‌کننده</w:t>
            </w:r>
          </w:p>
        </w:tc>
        <w:tc>
          <w:tcPr>
            <w:tcW w:type="dxa" w:w="5953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بیمارستان‌ها و مراکز درمانی دولتی و خصوصی</w:t>
            </w:r>
          </w:p>
        </w:tc>
      </w:tr>
      <w:tr>
        <w:tc>
          <w:tcPr>
            <w:tcW w:type="dxa" w:w="794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۵</w:t>
            </w:r>
          </w:p>
        </w:tc>
        <w:tc>
          <w:tcPr>
            <w:tcW w:type="dxa" w:w="3118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حمایت مورد نیاز</w:t>
            </w:r>
          </w:p>
        </w:tc>
        <w:tc>
          <w:tcPr>
            <w:tcW w:type="dxa" w:w="5953"/>
            <w:vAlign w:val="center"/>
            <w:shd w:fill="E6F3F3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همکاری دانشگاه علوم پزشکی استان برای جمع‌آوری داده</w:t>
            </w:r>
          </w:p>
        </w:tc>
      </w:tr>
      <w:tr>
        <w:tc>
          <w:tcPr>
            <w:tcW w:type="dxa" w:w="794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۶</w:t>
            </w:r>
          </w:p>
        </w:tc>
        <w:tc>
          <w:tcPr>
            <w:tcW w:type="dxa" w:w="3118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گام پس از اتمام</w:t>
            </w:r>
          </w:p>
        </w:tc>
        <w:tc>
          <w:tcPr>
            <w:tcW w:type="dxa" w:w="5953"/>
            <w:vAlign w:val="center"/>
            <w:shd w:fill="FFFFFF" w:val="clear"/>
          </w:tcPr>
          <w:p>
            <w:pPr>
              <w:spacing w:after="40" w:before="40"/>
              <w:jc w:val="center"/>
              <w:bidi w:val="1"/>
            </w:pPr>
            <w:r/>
            <w:r>
              <w:rPr>
                <w:rFonts w:ascii="Vazirmatn" w:hAnsi="Vazirmatn" w:eastAsia="Vazirmatn" w:cs="Vazirmatn"/>
                <w:b w:val="0"/>
                <w:color w:val="1C2B2B"/>
                <w:rtl w:val="1"/>
                <w:cs/>
                <w:sz w:val="19"/>
                <w:szCs w:val="19"/>
              </w:rPr>
              <w:t>تجاری‌سازی برای فراگیری در کشور</w:t>
            </w:r>
          </w:p>
        </w:tc>
      </w:tr>
    </w:tbl>
    <w:p/>
    <w:p>
      <w:pPr>
        <w:spacing w:after="120" w:before="280" w:line="360" w:lineRule="auto"/>
        <w:jc w:val="right"/>
        <w:bidi w:val="1"/>
        <w:pBdr>
          <w:bottom w:val="single" w:sz="12" w:space="4" w:color="C4A35A"/>
        </w:pBdr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32"/>
          <w:szCs w:val="32"/>
        </w:rPr>
        <w:t>۱۲. جمع‌بندی و توصیه نهایی</w:t>
      </w:r>
    </w:p>
    <w:p>
      <w:pPr>
        <w:spacing w:after="160" w:before="0" w:line="360" w:lineRule="auto"/>
        <w:ind w:firstLine="283"/>
        <w:jc w:val="right"/>
        <w:bidi w:val="1"/>
      </w:pPr>
      <w:r>
        <w:rPr>
          <w:rFonts w:ascii="Vazirmatn" w:hAnsi="Vazirmatn" w:eastAsia="Vazirmatn" w:cs="Vazirmatn"/>
          <w:b w:val="0"/>
          <w:rtl w:val="1"/>
          <w:cs/>
          <w:sz w:val="22"/>
          <w:szCs w:val="22"/>
        </w:rPr>
        <w:t>این پیشنهادیه در قالب فرم توسعه فناوری و با محوریت مدل یولو در پایتون تنظیم شده است: خواندن اسلاید کامل، برچسب محلی، آموزش یولو روی پردازنده گرافیکی داخلی، ادغام بالینی، و خدمت سامانه پشتیبان روی شبکه بیمارستان. این مسیر با پنج هدف سند هم‌راستاست و محرمانگی داده بیمار را حفظ می‌کند.</w:t>
      </w:r>
    </w:p>
    <w:p>
      <w:pPr>
        <w:spacing w:after="160" w:before="160" w:line="360" w:lineRule="auto"/>
        <w:jc w:val="right"/>
        <w:bidi w:val="1"/>
      </w:pPr>
      <w:r>
        <w:rPr>
          <w:rFonts w:ascii="Vazirmatn" w:hAnsi="Vazirmatn" w:eastAsia="Vazirmatn" w:cs="Vazirmatn"/>
          <w:b/>
          <w:rtl w:val="1"/>
          <w:cs/>
          <w:b/>
          <w:bCs/>
          <w:sz w:val="22"/>
          <w:szCs w:val="22"/>
        </w:rPr>
        <w:t>جریان نهایی پیشنهادی:</w:t>
      </w:r>
    </w:p>
    <w:p>
      <w:pPr>
        <w:spacing w:after="160" w:before="0" w:line="360" w:lineRule="auto"/>
        <w:jc w:val="center"/>
        <w:bidi w:val="1"/>
      </w:pPr>
      <w:r>
        <w:rPr>
          <w:rFonts w:ascii="Vazirmatn" w:hAnsi="Vazirmatn" w:eastAsia="Vazirmatn" w:cs="Vazirmatn"/>
          <w:b/>
          <w:color w:val="0A4F4F"/>
          <w:rtl w:val="1"/>
          <w:cs/>
          <w:b/>
          <w:bCs/>
          <w:sz w:val="20"/>
          <w:szCs w:val="20"/>
        </w:rPr>
        <w:t>اسلاید محلی ← برش تصویر ← برچسب جعبه‌ای ← آموزش یولو ← ادغام بالینی ← سامانه پشتیبان ← تأیید پاتولوژیست</w:t>
      </w:r>
    </w:p>
    <w:p>
      <w:pPr>
        <w:jc w:val="center"/>
        <w:bidi w:val="1"/>
        <w:pBdr>
          <w:bottom w:val="single" w:sz="18" w:space="1" w:color="C4A35A"/>
        </w:pBdr>
      </w:pPr>
    </w:p>
    <w:p>
      <w:pPr>
        <w:spacing w:after="160" w:before="200" w:line="360" w:lineRule="auto"/>
        <w:jc w:val="center"/>
        <w:bidi w:val="1"/>
      </w:pPr>
      <w:r>
        <w:rPr>
          <w:rFonts w:ascii="Vazirmatn" w:hAnsi="Vazirmatn" w:eastAsia="Vazirmatn" w:cs="Vazirmatn"/>
          <w:b w:val="0"/>
          <w:color w:val="5A6B6B"/>
          <w:rtl w:val="1"/>
          <w:cs/>
          <w:sz w:val="18"/>
          <w:szCs w:val="18"/>
        </w:rPr>
        <w:t>پایان پیشنهادیه — نسخه فارسی با قلم وزیرمتن و چینش راست‌به‌چپ اصلاح‌شده</w:t>
      </w:r>
    </w:p>
    <w:sectPr w:rsidR="00FC693F" w:rsidRPr="0006063C" w:rsidSect="00034616">
      <w:footerReference w:type="default" r:id="rId9"/>
      <w:pgSz w:w="11906" w:h="16838"/>
      <w:pgMar w:top="907" w:right="1134" w:bottom="1020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rPr>
        <w:rFonts w:ascii="Vazirmatn" w:hAnsi="Vazirmatn" w:eastAsia="Vazirmatn" w:cs="Vazirmatn"/>
        <w:b w:val="0"/>
        <w:color w:val="5A6B6B"/>
        <w:rtl w:val="1"/>
        <w:cs/>
        <w:sz w:val="18"/>
        <w:szCs w:val="18"/>
      </w:rPr>
      <w:t xml:space="preserve">صفحه </w:t>
    </w:r>
    <w:r>
      <w:rPr>
        <w:rFonts w:ascii="Vazirmatn" w:hAnsi="Vazirmatn" w:eastAsia="Vazirmatn" w:cs="Vazirmatn"/>
        <w:b w:val="0"/>
        <w:color w:val="5A6B6B"/>
        <w:rtl w:val="1"/>
        <w:cs/>
        <w:sz w:val="18"/>
        <w:szCs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en-US" w:eastAsia="en-US" w:bidi="fa-IR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eastAsia="Vazirmatn" w:cs="Vazirmat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