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84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Noto Sans Arabic"/>
          <w:b/>
          <w:color w:val="0B3A6E"/>
          <w:sz w:val="52"/>
        </w:rPr>
        <w:t>Parkinox Data Analytics Report</w:t>
      </w:r>
    </w:p>
    <w:p>
      <w:pPr>
        <w:jc w:val="center"/>
      </w:pPr>
      <w:r>
        <w:rPr>
          <w:rFonts w:ascii="Calibri" w:hAnsi="Calibri" w:cs="Noto Sans Arabic"/>
          <w:b w:val="0"/>
          <w:color w:val="1565C0"/>
          <w:sz w:val="26"/>
        </w:rPr>
        <w:t>Session Dataset Charts &amp; Measured Date/Time Insights</w:t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20"/>
        </w:rPr>
        <w:t>Blue Theme · Data-Only Document (CSV Driven)</w:t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20"/>
        </w:rPr>
        <w:t>Rows: 3,153  ·  Unique plates: 1,324</w:t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20"/>
        </w:rPr>
        <w:t>Window: 2026-05-16  12:19:18  →  2026-07-30  19:14:40 (Tehran)</w:t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20"/>
        </w:rPr>
        <w:t>Generated: 2026-08-01 13:02 Asia/Tehran</w:t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20"/>
        </w:rPr>
        <w:t>Source file: parkinox_sessions.csv</w:t>
      </w:r>
    </w:p>
    <w:p/>
    <w:p>
      <w:pPr>
        <w:pStyle w:val="Heading1"/>
      </w:pPr>
      <w:r>
        <w:rPr>
          <w:color w:val="0B3A6E"/>
        </w:rPr>
        <w:t>1. Dataset Overview</w:t>
      </w:r>
    </w:p>
    <w:p>
      <w:pPr>
        <w:spacing w:after="160" w:line="240" w:lineRule="auto"/>
      </w:pPr>
      <w:r>
        <w:rPr>
          <w:rFonts w:ascii="Calibri" w:hAnsi="Calibri" w:cs="Noto Sans Arabic"/>
          <w:b w:val="0"/>
          <w:color w:val="0D2137"/>
          <w:sz w:val="22"/>
        </w:rPr>
        <w:t>This report contains only measurements derived from the provided parking sessions CSV. Timestamps were converted from UTC to Asia/Tehran (UTC+03:30) for traffic analysis. Duration and fee fields are taken as exported; sessions without exit_time are treated as open/flagged.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Calibri" w:hAnsi="Calibri" w:cs="Noto Sans Arabic"/>
                <w:b/>
                <w:color w:val="0B3A6E"/>
                <w:sz w:val="32"/>
              </w:rPr>
              <w:t>3,153</w:t>
              <w:br/>
            </w:r>
            <w:r>
              <w:rPr>
                <w:rFonts w:ascii="Calibri" w:hAnsi="Calibri" w:cs="Noto Sans Arabic"/>
                <w:b w:val="0"/>
                <w:color w:val="546E7A"/>
                <w:sz w:val="18"/>
              </w:rPr>
              <w:t>Sessions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Calibri" w:hAnsi="Calibri" w:cs="Noto Sans Arabic"/>
                <w:b/>
                <w:color w:val="0B3A6E"/>
                <w:sz w:val="32"/>
              </w:rPr>
              <w:t>1,324</w:t>
              <w:br/>
            </w:r>
            <w:r>
              <w:rPr>
                <w:rFonts w:ascii="Calibri" w:hAnsi="Calibri" w:cs="Noto Sans Arabic"/>
                <w:b w:val="0"/>
                <w:color w:val="546E7A"/>
                <w:sz w:val="18"/>
              </w:rPr>
              <w:t>Unique Plates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Calibri" w:hAnsi="Calibri" w:cs="Noto Sans Arabic"/>
                <w:b/>
                <w:color w:val="0B3A6E"/>
                <w:sz w:val="32"/>
              </w:rPr>
              <w:t>2,837</w:t>
              <w:br/>
            </w:r>
            <w:r>
              <w:rPr>
                <w:rFonts w:ascii="Calibri" w:hAnsi="Calibri" w:cs="Noto Sans Arabic"/>
                <w:b w:val="0"/>
                <w:color w:val="546E7A"/>
                <w:sz w:val="18"/>
              </w:rPr>
              <w:t>With Exit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Calibri" w:hAnsi="Calibri" w:cs="Noto Sans Arabic"/>
                <w:b/>
                <w:color w:val="0B3A6E"/>
                <w:sz w:val="32"/>
              </w:rPr>
              <w:t>316</w:t>
              <w:br/>
            </w:r>
            <w:r>
              <w:rPr>
                <w:rFonts w:ascii="Calibri" w:hAnsi="Calibri" w:cs="Noto Sans Arabic"/>
                <w:b w:val="0"/>
                <w:color w:val="546E7A"/>
                <w:sz w:val="18"/>
              </w:rPr>
              <w:t>No Exit</w:t>
            </w:r>
          </w:p>
        </w:tc>
        <w:tc>
          <w:tcPr>
            <w:tcW w:type="dxa" w:w="2040"/>
            <w:shd w:fill="E3F2FD" w:val="clear"/>
          </w:tcPr>
          <w:p>
            <w:pPr>
              <w:jc w:val="center"/>
            </w:pPr>
            <w:r>
              <w:rPr>
                <w:rFonts w:ascii="Calibri" w:hAnsi="Calibri" w:cs="Noto Sans Arabic"/>
                <w:b/>
                <w:color w:val="0B3A6E"/>
                <w:sz w:val="32"/>
              </w:rPr>
              <w:t>148,098,672</w:t>
              <w:br/>
            </w:r>
            <w:r>
              <w:rPr>
                <w:rFonts w:ascii="Calibri" w:hAnsi="Calibri" w:cs="Noto Sans Arabic"/>
                <w:b w:val="0"/>
                <w:color w:val="546E7A"/>
                <w:sz w:val="18"/>
              </w:rPr>
              <w:t>Fee Total</w:t>
            </w:r>
          </w:p>
        </w:tc>
      </w:tr>
    </w:tbl>
    <w:p/>
    <w:p>
      <w:pPr>
        <w:pStyle w:val="Heading1"/>
      </w:pPr>
      <w:r>
        <w:rPr>
          <w:color w:val="0B3A6E"/>
        </w:rPr>
        <w:t>2.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3A6E" w:val="clear"/>
          </w:tcPr>
          <w:p>
            <w:r>
              <w:rPr>
                <w:rFonts w:ascii="Calibri" w:hAnsi="Calibri" w:cs="Noto Sans Arabic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100"/>
            <w:shd w:fill="0B3A6E" w:val="clear"/>
          </w:tcPr>
          <w:p>
            <w:r>
              <w:rPr>
                <w:rFonts w:ascii="Calibri" w:hAnsi="Calibri" w:cs="Noto Sans Arabic"/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cs="Noto Sans Arabic"/>
                <w:b/>
                <w:color w:val="0B3A6E"/>
                <w:sz w:val="18"/>
              </w:rPr>
              <w:t>plate</w:t>
            </w:r>
          </w:p>
        </w:tc>
        <w:tc>
          <w:tcPr>
            <w:tcW w:type="dxa" w:w="5100"/>
          </w:tcPr>
          <w:p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Iranian plate string (Persian digits + letter)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cs="Noto Sans Arabic"/>
                <w:b/>
                <w:color w:val="0B3A6E"/>
                <w:sz w:val="18"/>
              </w:rPr>
              <w:t>status</w:t>
            </w:r>
          </w:p>
        </w:tc>
        <w:tc>
          <w:tcPr>
            <w:tcW w:type="dxa" w:w="5100"/>
          </w:tcPr>
          <w:p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completed | waived | flagged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cs="Noto Sans Arabic"/>
                <w:b/>
                <w:color w:val="0B3A6E"/>
                <w:sz w:val="18"/>
              </w:rPr>
              <w:t>entry_time / exit_time</w:t>
            </w:r>
          </w:p>
        </w:tc>
        <w:tc>
          <w:tcPr>
            <w:tcW w:type="dxa" w:w="5100"/>
          </w:tcPr>
          <w:p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ISO-8601 UTC timestamps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cs="Noto Sans Arabic"/>
                <w:b/>
                <w:color w:val="0B3A6E"/>
                <w:sz w:val="18"/>
              </w:rPr>
              <w:t>duration_minutes</w:t>
            </w:r>
          </w:p>
        </w:tc>
        <w:tc>
          <w:tcPr>
            <w:tcW w:type="dxa" w:w="5100"/>
          </w:tcPr>
          <w:p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Measured stay length when exited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cs="Noto Sans Arabic"/>
                <w:b/>
                <w:color w:val="0B3A6E"/>
                <w:sz w:val="18"/>
              </w:rPr>
              <w:t>fee</w:t>
            </w:r>
          </w:p>
        </w:tc>
        <w:tc>
          <w:tcPr>
            <w:tcW w:type="dxa" w:w="5100"/>
          </w:tcPr>
          <w:p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Calculated fee in Tomans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cs="Noto Sans Arabic"/>
                <w:b/>
                <w:color w:val="0B3A6E"/>
                <w:sz w:val="18"/>
              </w:rPr>
              <w:t>payment_method</w:t>
            </w:r>
          </w:p>
        </w:tc>
        <w:tc>
          <w:tcPr>
            <w:tcW w:type="dxa" w:w="5100"/>
          </w:tcPr>
          <w:p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wallet | cash | waived | none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cs="Noto Sans Arabic"/>
                <w:b/>
                <w:color w:val="0B3A6E"/>
                <w:sz w:val="18"/>
              </w:rPr>
              <w:t>entry_camera / exit_camera</w:t>
            </w:r>
          </w:p>
        </w:tc>
        <w:tc>
          <w:tcPr>
            <w:tcW w:type="dxa" w:w="5100"/>
          </w:tcPr>
          <w:p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Camera tags when present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cs="Noto Sans Arabic"/>
                <w:b/>
                <w:color w:val="0B3A6E"/>
                <w:sz w:val="18"/>
              </w:rPr>
              <w:t>user_name</w:t>
            </w:r>
          </w:p>
        </w:tc>
        <w:tc>
          <w:tcPr>
            <w:tcW w:type="dxa" w:w="5100"/>
          </w:tcPr>
          <w:p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Linked user display name when registered</w:t>
            </w:r>
          </w:p>
        </w:tc>
      </w:tr>
      <w:tr>
        <w:tc>
          <w:tcPr>
            <w:tcW w:type="dxa" w:w="5100"/>
          </w:tcPr>
          <w:p>
            <w:r>
              <w:rPr>
                <w:rFonts w:ascii="Calibri" w:hAnsi="Calibri" w:cs="Noto Sans Arabic"/>
                <w:b/>
                <w:color w:val="0B3A6E"/>
                <w:sz w:val="18"/>
              </w:rPr>
              <w:t>session_uuid</w:t>
            </w:r>
          </w:p>
        </w:tc>
        <w:tc>
          <w:tcPr>
            <w:tcW w:type="dxa" w:w="5100"/>
          </w:tcPr>
          <w:p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Stable session identifier</w:t>
            </w:r>
          </w:p>
        </w:tc>
      </w:tr>
    </w:tbl>
    <w:p/>
    <w:p>
      <w:pPr>
        <w:pStyle w:val="Heading1"/>
      </w:pPr>
      <w:r>
        <w:rPr>
          <w:color w:val="0B3A6E"/>
        </w:rPr>
        <w:t>3. Status &amp; Payment Counts</w:t>
      </w:r>
    </w:p>
    <w:p>
      <w:pPr>
        <w:spacing w:after="160" w:line="240" w:lineRule="auto"/>
      </w:pPr>
      <w:r>
        <w:rPr>
          <w:rFonts w:ascii="Calibri" w:hAnsi="Calibri" w:cs="Noto Sans Arabic"/>
          <w:b w:val="0"/>
          <w:color w:val="0D2137"/>
          <w:sz w:val="22"/>
        </w:rPr>
        <w:t>Status counts: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waived: 2,810 (89.1%)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flagged: 316 (10.0%)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completed: 27 (0.9%)</w:t>
      </w:r>
    </w:p>
    <w:p>
      <w:pPr>
        <w:spacing w:after="160" w:line="240" w:lineRule="auto"/>
      </w:pPr>
      <w:r>
        <w:rPr>
          <w:rFonts w:ascii="Calibri" w:hAnsi="Calibri" w:cs="Noto Sans Arabic"/>
          <w:b w:val="0"/>
          <w:color w:val="0D2137"/>
          <w:sz w:val="22"/>
        </w:rPr>
        <w:t>Payment method counts: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waived: 2,810 (89.1%)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none: 316 (10.0%)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cash: 16 (0.5%)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wallet: 11 (0.3%)</w:t>
      </w:r>
    </w:p>
    <w:p>
      <w:pPr>
        <w:pStyle w:val="Heading1"/>
      </w:pPr>
      <w:r>
        <w:rPr>
          <w:color w:val="0B3A6E"/>
        </w:rPr>
        <w:t>4. Time-Series Charts</w:t>
      </w:r>
    </w:p>
    <w:p>
      <w:pPr>
        <w:spacing w:after="160" w:line="240" w:lineRule="auto"/>
      </w:pPr>
      <w:r>
        <w:rPr>
          <w:rFonts w:ascii="Calibri" w:hAnsi="Calibri" w:cs="Noto Sans Arabic"/>
          <w:b w:val="0"/>
          <w:color w:val="0D2137"/>
          <w:sz w:val="22"/>
        </w:rPr>
        <w:t>Peak day: 2026-07-29 with 448 entries. Peak hour (Tehran): 08:00. Average closed duration: 1d 0h; median: 7h 47m.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227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s_per_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2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18"/>
        </w:rPr>
        <w:t>Chart A — Sessions per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762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ies_by_ho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7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18"/>
        </w:rPr>
        <w:t>Chart B — Entries by hour of day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932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by_da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18"/>
        </w:rPr>
        <w:t>Chart C — Status mix on recent active days</w:t>
      </w:r>
    </w:p>
    <w:p>
      <w:pPr>
        <w:pStyle w:val="Heading1"/>
      </w:pPr>
      <w:r>
        <w:rPr>
          <w:color w:val="0B3A6E"/>
        </w:rPr>
        <w:t>5. Composition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9145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14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18"/>
        </w:rPr>
        <w:t>Chart D — Status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199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metho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9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18"/>
        </w:rPr>
        <w:t>Chart E — Payment methods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845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ration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8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18"/>
        </w:rPr>
        <w:t>Chart F — Duration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93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9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18"/>
        </w:rPr>
        <w:t>Chart G — Fee distribution (fee &gt; 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984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era_cover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98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cs="Noto Sans Arabic"/>
          <w:b w:val="0"/>
          <w:color w:val="546E7A"/>
          <w:sz w:val="18"/>
        </w:rPr>
        <w:t>Chart H — Camera tag coverage</w:t>
      </w:r>
    </w:p>
    <w:p>
      <w:pPr>
        <w:pStyle w:val="Heading1"/>
      </w:pPr>
      <w:r>
        <w:rPr>
          <w:color w:val="0B3A6E"/>
        </w:rPr>
        <w:t>6. Daily Traffic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1565C0" w:val="clear"/>
          </w:tcPr>
          <w:p>
            <w:r>
              <w:rPr>
                <w:rFonts w:ascii="Calibri" w:hAnsi="Calibri" w:cs="Noto Sans Arabic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1457"/>
            <w:shd w:fill="1565C0" w:val="clear"/>
          </w:tcPr>
          <w:p>
            <w:r>
              <w:rPr>
                <w:rFonts w:ascii="Calibri" w:hAnsi="Calibri" w:cs="Noto Sans Arabic"/>
                <w:b/>
                <w:color w:val="FFFFFF"/>
                <w:sz w:val="16"/>
              </w:rPr>
              <w:t>Sessions</w:t>
            </w:r>
          </w:p>
        </w:tc>
        <w:tc>
          <w:tcPr>
            <w:tcW w:type="dxa" w:w="1457"/>
            <w:shd w:fill="1565C0" w:val="clear"/>
          </w:tcPr>
          <w:p>
            <w:r>
              <w:rPr>
                <w:rFonts w:ascii="Calibri" w:hAnsi="Calibri" w:cs="Noto Sans Arabic"/>
                <w:b/>
                <w:color w:val="FFFFFF"/>
                <w:sz w:val="16"/>
              </w:rPr>
              <w:t>Unique</w:t>
            </w:r>
          </w:p>
        </w:tc>
        <w:tc>
          <w:tcPr>
            <w:tcW w:type="dxa" w:w="1457"/>
            <w:shd w:fill="1565C0" w:val="clear"/>
          </w:tcPr>
          <w:p>
            <w:r>
              <w:rPr>
                <w:rFonts w:ascii="Calibri" w:hAnsi="Calibri" w:cs="Noto Sans Arabic"/>
                <w:b/>
                <w:color w:val="FFFFFF"/>
                <w:sz w:val="16"/>
              </w:rPr>
              <w:t>Completed</w:t>
            </w:r>
          </w:p>
        </w:tc>
        <w:tc>
          <w:tcPr>
            <w:tcW w:type="dxa" w:w="1457"/>
            <w:shd w:fill="1565C0" w:val="clear"/>
          </w:tcPr>
          <w:p>
            <w:r>
              <w:rPr>
                <w:rFonts w:ascii="Calibri" w:hAnsi="Calibri" w:cs="Noto Sans Arabic"/>
                <w:b/>
                <w:color w:val="FFFFFF"/>
                <w:sz w:val="16"/>
              </w:rPr>
              <w:t>Waived</w:t>
            </w:r>
          </w:p>
        </w:tc>
        <w:tc>
          <w:tcPr>
            <w:tcW w:type="dxa" w:w="1457"/>
            <w:shd w:fill="1565C0" w:val="clear"/>
          </w:tcPr>
          <w:p>
            <w:r>
              <w:rPr>
                <w:rFonts w:ascii="Calibri" w:hAnsi="Calibri" w:cs="Noto Sans Arabic"/>
                <w:b/>
                <w:color w:val="FFFFFF"/>
                <w:sz w:val="16"/>
              </w:rPr>
              <w:t>Flagged</w:t>
            </w:r>
          </w:p>
        </w:tc>
        <w:tc>
          <w:tcPr>
            <w:tcW w:type="dxa" w:w="1457"/>
            <w:shd w:fill="1565C0" w:val="clear"/>
          </w:tcPr>
          <w:p>
            <w:r>
              <w:rPr>
                <w:rFonts w:ascii="Calibri" w:hAnsi="Calibri" w:cs="Noto Sans Arabic"/>
                <w:b/>
                <w:color w:val="FFFFFF"/>
                <w:sz w:val="16"/>
              </w:rPr>
              <w:t>Fee Sum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2026-05-16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24,313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2026-05-18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7,332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2026-05-20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6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53,197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2026-05-22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732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2026-05-23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4,666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2026-05-24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2026-06-22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2026-06-27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16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480,000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2026-06-28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7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2026-06-29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162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121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118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338,495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2026-06-30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78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55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55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83,249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2026-07-01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64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47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46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17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1,247,000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2026-07-02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2026-07-04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272,496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2026-07-12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2026-07-15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395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348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364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5,999,138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2026-07-18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2026-07-19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254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237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243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3,307,477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2026-07-21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443,333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2026-07-22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9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9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408,332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2026-07-23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320,000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2026-07-24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2026-07-25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404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328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403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27,702,448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2026-07-26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424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344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415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9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23,022,458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2026-07-27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395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325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342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53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29,271,622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2026-07-28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400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369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287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112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29,575,774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2026-07-29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448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354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448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25,536,610</w:t>
            </w:r>
          </w:p>
        </w:tc>
      </w:tr>
      <w:tr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2026-07-30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1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6"/>
              </w:rPr>
              <w:t>0</w:t>
            </w:r>
          </w:p>
        </w:tc>
      </w:tr>
    </w:tbl>
    <w:p/>
    <w:p>
      <w:pPr>
        <w:pStyle w:val="Heading1"/>
      </w:pPr>
      <w:r>
        <w:rPr>
          <w:color w:val="0B3A6E"/>
        </w:rPr>
        <w:t>7. Hourly Traffic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565C0" w:val="clear"/>
          </w:tcPr>
          <w:p>
            <w:r>
              <w:rPr>
                <w:rFonts w:ascii="Calibri" w:hAnsi="Calibri" w:cs="Noto Sans Arabic"/>
                <w:b/>
                <w:color w:val="FFFFFF"/>
                <w:sz w:val="18"/>
              </w:rPr>
              <w:t>Hour (Tehran)</w:t>
            </w:r>
          </w:p>
        </w:tc>
        <w:tc>
          <w:tcPr>
            <w:tcW w:type="dxa" w:w="5100"/>
            <w:shd w:fill="1565C0" w:val="clear"/>
          </w:tcPr>
          <w:p>
            <w:r>
              <w:rPr>
                <w:rFonts w:ascii="Calibri" w:hAnsi="Calibri" w:cs="Noto Sans Arabic"/>
                <w:b/>
                <w:color w:val="FFFFFF"/>
                <w:sz w:val="18"/>
              </w:rPr>
              <w:t>Entries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00:00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17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01:00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6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02:00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03:00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04:00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05:00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06:00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6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07:00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316</w:t>
            </w:r>
          </w:p>
        </w:tc>
      </w:tr>
      <w:tr>
        <w:tc>
          <w:tcPr>
            <w:tcW w:type="dxa" w:w="5100"/>
            <w:shd w:fill="BBDEFB" w:val="clear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08:00</w:t>
            </w:r>
          </w:p>
        </w:tc>
        <w:tc>
          <w:tcPr>
            <w:tcW w:type="dxa" w:w="5100"/>
            <w:shd w:fill="BBDEFB" w:val="clear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641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09:00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375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10:00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451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11:00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377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12:00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286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13:00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268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14:00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160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15:00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60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16:00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57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17:00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69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18:00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35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19:00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14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20:00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21:00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22:00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3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23:00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rFonts w:ascii="Calibri" w:hAnsi="Calibri" w:cs="Noto Sans Arabic"/>
                <w:b w:val="0"/>
                <w:color w:val="0D2137"/>
                <w:sz w:val="18"/>
              </w:rPr>
              <w:t>10</w:t>
            </w:r>
          </w:p>
        </w:tc>
      </w:tr>
    </w:tbl>
    <w:p/>
    <w:p>
      <w:pPr>
        <w:pStyle w:val="Heading1"/>
      </w:pPr>
      <w:r>
        <w:rPr>
          <w:color w:val="0B3A6E"/>
        </w:rPr>
        <w:t>8. Duration &amp; Fee Statistics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Closed sessions: 2,823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Duration mean: 1d 0h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Duration median: 7h 47m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Duration p90: 3d 19h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Duration max: 13d 22h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Total calculated fees: 148,098,672 Tomans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Mean fee where fee &gt; 0: 140,511 Tomans</w:t>
      </w:r>
    </w:p>
    <w:p>
      <w:pPr>
        <w:pStyle w:val="ListBullet"/>
      </w:pPr>
      <w:r>
        <w:rPr>
          <w:rFonts w:ascii="Calibri" w:hAnsi="Calibri" w:cs="Noto Sans Arabic"/>
          <w:b w:val="0"/>
          <w:color w:val="0D2137"/>
          <w:sz w:val="22"/>
        </w:rPr>
        <w:t>Sessions with fee = 0: 2,099</w:t>
      </w:r>
    </w:p>
    <w:p>
      <w:pPr>
        <w:pStyle w:val="Heading1"/>
      </w:pPr>
      <w:r>
        <w:rPr>
          <w:color w:val="0B3A6E"/>
        </w:rPr>
        <w:t>9. Notes on Measurement</w:t>
      </w:r>
    </w:p>
    <w:p>
      <w:pPr>
        <w:spacing w:after="160" w:line="240" w:lineRule="auto"/>
      </w:pPr>
      <w:r>
        <w:rPr>
          <w:rFonts w:ascii="Calibri" w:hAnsi="Calibri" w:cs="Noto Sans Arabic"/>
          <w:b w:val="0"/>
          <w:color w:val="0D2137"/>
          <w:sz w:val="22"/>
        </w:rPr>
        <w:t>Entry and exit instants are parsed from ISO timestamps with timezone offsets, then converted to Tehran local time for hourly/daily aggregation. Duration uses the CSV duration_minutes field (not re-derived) to stay faithful to the export. Status and payment_method are categorical counts; empty payment_method values are labeled none. This document intentionally excludes product narrative — see Parkinox_Success_Report.docx for system function and error handling.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