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C34E" w14:textId="41CA3B56" w:rsidR="00BE05D6" w:rsidRPr="00BE05D6" w:rsidRDefault="00BE05D6" w:rsidP="00BE05D6">
      <w:pPr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баз данных</w:t>
      </w:r>
    </w:p>
    <w:p w14:paraId="0408D30E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b/>
          <w:bCs/>
          <w:sz w:val="28"/>
          <w:szCs w:val="28"/>
          <w:lang w:val="ru-RU"/>
        </w:rPr>
        <w:t>Эволюция технологического стека и концепций.</w:t>
      </w:r>
      <w:r w:rsidRPr="00BE05D6">
        <w:rPr>
          <w:sz w:val="28"/>
          <w:szCs w:val="28"/>
          <w:lang w:val="ru-RU"/>
        </w:rPr>
        <w:t xml:space="preserve"> Наблюдается устойчивый переход от классических, монолитных реляционных систем к гибридной инфраструктуре данных. Современный ландшафт характеризуется сосуществованием и совместным использованием различных концепций хранения и управления данными. Наряду с традиционными реляционными СУБД, такими как MySQL и </w:t>
      </w:r>
      <w:proofErr w:type="spellStart"/>
      <w:r w:rsidRPr="00BE05D6">
        <w:rPr>
          <w:sz w:val="28"/>
          <w:szCs w:val="28"/>
          <w:lang w:val="ru-RU"/>
        </w:rPr>
        <w:t>PostgreSQL</w:t>
      </w:r>
      <w:proofErr w:type="spellEnd"/>
      <w:r w:rsidRPr="00BE05D6">
        <w:rPr>
          <w:sz w:val="28"/>
          <w:szCs w:val="28"/>
          <w:lang w:val="ru-RU"/>
        </w:rPr>
        <w:t xml:space="preserve">, активно развиваются и применяются </w:t>
      </w:r>
      <w:proofErr w:type="spellStart"/>
      <w:r w:rsidRPr="00BE05D6">
        <w:rPr>
          <w:sz w:val="28"/>
          <w:szCs w:val="28"/>
          <w:lang w:val="ru-RU"/>
        </w:rPr>
        <w:t>документоориентированные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NoSQL</w:t>
      </w:r>
      <w:proofErr w:type="spellEnd"/>
      <w:r w:rsidRPr="00BE05D6">
        <w:rPr>
          <w:sz w:val="28"/>
          <w:szCs w:val="28"/>
          <w:lang w:val="ru-RU"/>
        </w:rPr>
        <w:t xml:space="preserve">-системы (например, </w:t>
      </w:r>
      <w:proofErr w:type="spellStart"/>
      <w:r w:rsidRPr="00BE05D6">
        <w:rPr>
          <w:sz w:val="28"/>
          <w:szCs w:val="28"/>
          <w:lang w:val="ru-RU"/>
        </w:rPr>
        <w:t>MongoDB</w:t>
      </w:r>
      <w:proofErr w:type="spellEnd"/>
      <w:r w:rsidRPr="00BE05D6">
        <w:rPr>
          <w:sz w:val="28"/>
          <w:szCs w:val="28"/>
          <w:lang w:val="ru-RU"/>
        </w:rPr>
        <w:t xml:space="preserve">) для работы с неструктурированными данными и гибкими схемами. Как отмечается в работах Р. </w:t>
      </w:r>
      <w:proofErr w:type="spellStart"/>
      <w:r w:rsidRPr="00BE05D6">
        <w:rPr>
          <w:sz w:val="28"/>
          <w:szCs w:val="28"/>
          <w:lang w:val="ru-RU"/>
        </w:rPr>
        <w:t>Элмасри</w:t>
      </w:r>
      <w:proofErr w:type="spellEnd"/>
      <w:r w:rsidRPr="00BE05D6">
        <w:rPr>
          <w:sz w:val="28"/>
          <w:szCs w:val="28"/>
          <w:lang w:val="ru-RU"/>
        </w:rPr>
        <w:t xml:space="preserve"> и Ш. </w:t>
      </w:r>
      <w:proofErr w:type="spellStart"/>
      <w:r w:rsidRPr="00BE05D6">
        <w:rPr>
          <w:sz w:val="28"/>
          <w:szCs w:val="28"/>
          <w:lang w:val="ru-RU"/>
        </w:rPr>
        <w:t>Навате</w:t>
      </w:r>
      <w:proofErr w:type="spellEnd"/>
      <w:r w:rsidRPr="00BE05D6">
        <w:rPr>
          <w:sz w:val="28"/>
          <w:szCs w:val="28"/>
          <w:lang w:val="ru-RU"/>
        </w:rPr>
        <w:t xml:space="preserve"> «</w:t>
      </w:r>
      <w:proofErr w:type="spellStart"/>
      <w:r w:rsidRPr="00BE05D6">
        <w:rPr>
          <w:sz w:val="28"/>
          <w:szCs w:val="28"/>
          <w:lang w:val="ru-RU"/>
        </w:rPr>
        <w:t>Fundamentals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of</w:t>
      </w:r>
      <w:proofErr w:type="spellEnd"/>
      <w:r w:rsidRPr="00BE05D6">
        <w:rPr>
          <w:sz w:val="28"/>
          <w:szCs w:val="28"/>
          <w:lang w:val="ru-RU"/>
        </w:rPr>
        <w:t xml:space="preserve"> Database Systems», современный специалист должен владеть не только классической реляционной моделью, но и понимать принципы работы альтернативных технологий хранения данных.</w:t>
      </w:r>
    </w:p>
    <w:p w14:paraId="61956493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sz w:val="28"/>
          <w:szCs w:val="28"/>
          <w:lang w:val="ru-RU"/>
        </w:rPr>
        <w:t xml:space="preserve">Это подтверждается включением в учебные пособия тем по работе с распределёнными базами и файловыми системами (HDFS) с использованием инструментов </w:t>
      </w:r>
      <w:proofErr w:type="spellStart"/>
      <w:r w:rsidRPr="00BE05D6">
        <w:rPr>
          <w:sz w:val="28"/>
          <w:szCs w:val="28"/>
          <w:lang w:val="ru-RU"/>
        </w:rPr>
        <w:t>BigData</w:t>
      </w:r>
      <w:proofErr w:type="spellEnd"/>
      <w:r w:rsidRPr="00BE05D6">
        <w:rPr>
          <w:sz w:val="28"/>
          <w:szCs w:val="28"/>
          <w:lang w:val="ru-RU"/>
        </w:rPr>
        <w:t xml:space="preserve">-стека. Кроме того, актуальным направлением является интеграция баз данных в облачные среды, что существенно меняет подходы к развёртыванию, масштабированию и администрированию информационных систем. Облачные платформы, такие как Amazon Web Services, Microsoft Azure и Google </w:t>
      </w:r>
      <w:proofErr w:type="spellStart"/>
      <w:r w:rsidRPr="00BE05D6">
        <w:rPr>
          <w:sz w:val="28"/>
          <w:szCs w:val="28"/>
          <w:lang w:val="ru-RU"/>
        </w:rPr>
        <w:t>Cloud</w:t>
      </w:r>
      <w:proofErr w:type="spellEnd"/>
      <w:r w:rsidRPr="00BE05D6">
        <w:rPr>
          <w:sz w:val="28"/>
          <w:szCs w:val="28"/>
          <w:lang w:val="ru-RU"/>
        </w:rPr>
        <w:t xml:space="preserve"> Platform, предоставляют управляемые сервисы баз данных, что снижает нагрузку на администраторов и позволяет сосредоточиться на проектировании и оптимизации.</w:t>
      </w:r>
    </w:p>
    <w:p w14:paraId="3B4046DA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b/>
          <w:bCs/>
          <w:sz w:val="28"/>
          <w:szCs w:val="28"/>
          <w:lang w:val="ru-RU"/>
        </w:rPr>
        <w:t>Углубление и специализация в проектировании и разработке.</w:t>
      </w:r>
      <w:r w:rsidRPr="00BE05D6">
        <w:rPr>
          <w:sz w:val="28"/>
          <w:szCs w:val="28"/>
          <w:lang w:val="ru-RU"/>
        </w:rPr>
        <w:t xml:space="preserve"> Теоретические основы проектирования реляционных баз данных, включая построение ER-моделей и нормализацию, остаются фундаментом учебных программ и профессиональной подготовки специалистов. Классический труд </w:t>
      </w:r>
      <w:proofErr w:type="spellStart"/>
      <w:r w:rsidRPr="00BE05D6">
        <w:rPr>
          <w:sz w:val="28"/>
          <w:szCs w:val="28"/>
          <w:lang w:val="ru-RU"/>
        </w:rPr>
        <w:t>К.Дж</w:t>
      </w:r>
      <w:proofErr w:type="spellEnd"/>
      <w:r w:rsidRPr="00BE05D6">
        <w:rPr>
          <w:sz w:val="28"/>
          <w:szCs w:val="28"/>
          <w:lang w:val="ru-RU"/>
        </w:rPr>
        <w:t>. Дейта «</w:t>
      </w:r>
      <w:proofErr w:type="spellStart"/>
      <w:r w:rsidRPr="00BE05D6">
        <w:rPr>
          <w:sz w:val="28"/>
          <w:szCs w:val="28"/>
          <w:lang w:val="ru-RU"/>
        </w:rPr>
        <w:t>An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Introduction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to</w:t>
      </w:r>
      <w:proofErr w:type="spellEnd"/>
      <w:r w:rsidRPr="00BE05D6">
        <w:rPr>
          <w:sz w:val="28"/>
          <w:szCs w:val="28"/>
          <w:lang w:val="ru-RU"/>
        </w:rPr>
        <w:t xml:space="preserve"> Database Systems» по-прежнему является базовым источником для понимания теории реляционных баз данных, реляционной алгебры и принципов нормализации. Однако современные источники уделяют значительное внимание практическим </w:t>
      </w:r>
      <w:r w:rsidRPr="00BE05D6">
        <w:rPr>
          <w:sz w:val="28"/>
          <w:szCs w:val="28"/>
          <w:lang w:val="ru-RU"/>
        </w:rPr>
        <w:lastRenderedPageBreak/>
        <w:t>аспектам оптимизации: индексированию, анализу планов выполнения запросов, секционированию таблиц и настройке производительности СУБД.</w:t>
      </w:r>
    </w:p>
    <w:p w14:paraId="2BEADECE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sz w:val="28"/>
          <w:szCs w:val="28"/>
          <w:lang w:val="ru-RU"/>
        </w:rPr>
        <w:t xml:space="preserve">Научные публикации в ведущих изданиях (ACM SIGMOD, VLDB, IEEE </w:t>
      </w:r>
      <w:proofErr w:type="spellStart"/>
      <w:r w:rsidRPr="00BE05D6">
        <w:rPr>
          <w:sz w:val="28"/>
          <w:szCs w:val="28"/>
          <w:lang w:val="ru-RU"/>
        </w:rPr>
        <w:t>Transactions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on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Knowledge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and</w:t>
      </w:r>
      <w:proofErr w:type="spellEnd"/>
      <w:r w:rsidRPr="00BE05D6">
        <w:rPr>
          <w:sz w:val="28"/>
          <w:szCs w:val="28"/>
          <w:lang w:val="ru-RU"/>
        </w:rPr>
        <w:t xml:space="preserve"> Data Engineering) демонстрируют переход к исследованию распределённых транзакций, согласованности данных в географически распределённых системах и методов обеспечения отказоустойчивости. Основополагающая статья Э.Ф. Кодда «A </w:t>
      </w:r>
      <w:proofErr w:type="spellStart"/>
      <w:r w:rsidRPr="00BE05D6">
        <w:rPr>
          <w:sz w:val="28"/>
          <w:szCs w:val="28"/>
          <w:lang w:val="ru-RU"/>
        </w:rPr>
        <w:t>Relational</w:t>
      </w:r>
      <w:proofErr w:type="spellEnd"/>
      <w:r w:rsidRPr="00BE05D6">
        <w:rPr>
          <w:sz w:val="28"/>
          <w:szCs w:val="28"/>
          <w:lang w:val="ru-RU"/>
        </w:rPr>
        <w:t xml:space="preserve"> Model </w:t>
      </w:r>
      <w:proofErr w:type="spellStart"/>
      <w:r w:rsidRPr="00BE05D6">
        <w:rPr>
          <w:sz w:val="28"/>
          <w:szCs w:val="28"/>
          <w:lang w:val="ru-RU"/>
        </w:rPr>
        <w:t>of</w:t>
      </w:r>
      <w:proofErr w:type="spellEnd"/>
      <w:r w:rsidRPr="00BE05D6">
        <w:rPr>
          <w:sz w:val="28"/>
          <w:szCs w:val="28"/>
          <w:lang w:val="ru-RU"/>
        </w:rPr>
        <w:t xml:space="preserve"> Data </w:t>
      </w:r>
      <w:proofErr w:type="spellStart"/>
      <w:r w:rsidRPr="00BE05D6">
        <w:rPr>
          <w:sz w:val="28"/>
          <w:szCs w:val="28"/>
          <w:lang w:val="ru-RU"/>
        </w:rPr>
        <w:t>for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Large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Shared</w:t>
      </w:r>
      <w:proofErr w:type="spellEnd"/>
      <w:r w:rsidRPr="00BE05D6">
        <w:rPr>
          <w:sz w:val="28"/>
          <w:szCs w:val="28"/>
          <w:lang w:val="ru-RU"/>
        </w:rPr>
        <w:t xml:space="preserve"> Data </w:t>
      </w:r>
      <w:proofErr w:type="spellStart"/>
      <w:r w:rsidRPr="00BE05D6">
        <w:rPr>
          <w:sz w:val="28"/>
          <w:szCs w:val="28"/>
          <w:lang w:val="ru-RU"/>
        </w:rPr>
        <w:t>Banks</w:t>
      </w:r>
      <w:proofErr w:type="spellEnd"/>
      <w:r w:rsidRPr="00BE05D6">
        <w:rPr>
          <w:sz w:val="28"/>
          <w:szCs w:val="28"/>
          <w:lang w:val="ru-RU"/>
        </w:rPr>
        <w:t xml:space="preserve">», опубликованная в 1970 году, заложила теоретический фундамент реляционной модели, который остаётся актуальным и в современных исследованиях. При этом работы М. </w:t>
      </w:r>
      <w:proofErr w:type="spellStart"/>
      <w:r w:rsidRPr="00BE05D6">
        <w:rPr>
          <w:sz w:val="28"/>
          <w:szCs w:val="28"/>
          <w:lang w:val="ru-RU"/>
        </w:rPr>
        <w:t>Стоунбрейкера</w:t>
      </w:r>
      <w:proofErr w:type="spellEnd"/>
      <w:r w:rsidRPr="00BE05D6">
        <w:rPr>
          <w:sz w:val="28"/>
          <w:szCs w:val="28"/>
          <w:lang w:val="ru-RU"/>
        </w:rPr>
        <w:t xml:space="preserve"> и соавторов, в частности «The End </w:t>
      </w:r>
      <w:proofErr w:type="spellStart"/>
      <w:r w:rsidRPr="00BE05D6">
        <w:rPr>
          <w:sz w:val="28"/>
          <w:szCs w:val="28"/>
          <w:lang w:val="ru-RU"/>
        </w:rPr>
        <w:t>of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an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Architectural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Era</w:t>
      </w:r>
      <w:proofErr w:type="spellEnd"/>
      <w:r w:rsidRPr="00BE05D6">
        <w:rPr>
          <w:sz w:val="28"/>
          <w:szCs w:val="28"/>
          <w:lang w:val="ru-RU"/>
        </w:rPr>
        <w:t>», анализируют ограничения традиционных СУБД и обосновывают необходимость разработки новых архитектурных подходов.</w:t>
      </w:r>
    </w:p>
    <w:p w14:paraId="6C7254DB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b/>
          <w:bCs/>
          <w:sz w:val="28"/>
          <w:szCs w:val="28"/>
          <w:lang w:val="ru-RU"/>
        </w:rPr>
        <w:t>Расширение инструментария и методологий.</w:t>
      </w:r>
      <w:r w:rsidRPr="00BE05D6">
        <w:rPr>
          <w:sz w:val="28"/>
          <w:szCs w:val="28"/>
          <w:lang w:val="ru-RU"/>
        </w:rPr>
        <w:t> Учебная литература всё активнее включает разделы по миграции данных, ETL-процессам (</w:t>
      </w:r>
      <w:proofErr w:type="spellStart"/>
      <w:r w:rsidRPr="00BE05D6">
        <w:rPr>
          <w:sz w:val="28"/>
          <w:szCs w:val="28"/>
          <w:lang w:val="ru-RU"/>
        </w:rPr>
        <w:t>Extract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Transform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Load</w:t>
      </w:r>
      <w:proofErr w:type="spellEnd"/>
      <w:r w:rsidRPr="00BE05D6">
        <w:rPr>
          <w:sz w:val="28"/>
          <w:szCs w:val="28"/>
          <w:lang w:val="ru-RU"/>
        </w:rPr>
        <w:t xml:space="preserve">) и интеграции баз данных с аналитическими платформами. Академические учебники, такие как «Database System </w:t>
      </w:r>
      <w:proofErr w:type="spellStart"/>
      <w:r w:rsidRPr="00BE05D6">
        <w:rPr>
          <w:sz w:val="28"/>
          <w:szCs w:val="28"/>
          <w:lang w:val="ru-RU"/>
        </w:rPr>
        <w:t>Concepts</w:t>
      </w:r>
      <w:proofErr w:type="spellEnd"/>
      <w:r w:rsidRPr="00BE05D6">
        <w:rPr>
          <w:sz w:val="28"/>
          <w:szCs w:val="28"/>
          <w:lang w:val="ru-RU"/>
        </w:rPr>
        <w:t xml:space="preserve">» авторов А. </w:t>
      </w:r>
      <w:proofErr w:type="spellStart"/>
      <w:r w:rsidRPr="00BE05D6">
        <w:rPr>
          <w:sz w:val="28"/>
          <w:szCs w:val="28"/>
          <w:lang w:val="ru-RU"/>
        </w:rPr>
        <w:t>Зильбершатца</w:t>
      </w:r>
      <w:proofErr w:type="spellEnd"/>
      <w:r w:rsidRPr="00BE05D6">
        <w:rPr>
          <w:sz w:val="28"/>
          <w:szCs w:val="28"/>
          <w:lang w:val="ru-RU"/>
        </w:rPr>
        <w:t xml:space="preserve">, Г.Ф. Корта и С. </w:t>
      </w:r>
      <w:proofErr w:type="spellStart"/>
      <w:r w:rsidRPr="00BE05D6">
        <w:rPr>
          <w:sz w:val="28"/>
          <w:szCs w:val="28"/>
          <w:lang w:val="ru-RU"/>
        </w:rPr>
        <w:t>Сударшана</w:t>
      </w:r>
      <w:proofErr w:type="spellEnd"/>
      <w:r w:rsidRPr="00BE05D6">
        <w:rPr>
          <w:sz w:val="28"/>
          <w:szCs w:val="28"/>
          <w:lang w:val="ru-RU"/>
        </w:rPr>
        <w:t>, рассматривают полный цикл работы с данными — от проектирования схемы до оптимизации производительности и обеспечения безопасности. Отечественные источники, в частности учебное пособие С.Д. Кузнецова «Основы баз данных», адаптируют международный опыт к российской образовательной практике.</w:t>
      </w:r>
    </w:p>
    <w:p w14:paraId="792E5575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sz w:val="28"/>
          <w:szCs w:val="28"/>
          <w:lang w:val="ru-RU"/>
        </w:rPr>
        <w:t xml:space="preserve">Профессиональные источники и онлайн-ресурсы дополняют академическую базу актуальной информацией о сравнительном анализе систем, архитектурных решениях и передовых практиках. Портал db-engines.com предоставляет рейтинги популярности СУБД, позволяющие отслеживать динамику технологического рынка. Блоги </w:t>
      </w:r>
      <w:proofErr w:type="spellStart"/>
      <w:r w:rsidRPr="00BE05D6">
        <w:rPr>
          <w:sz w:val="28"/>
          <w:szCs w:val="28"/>
          <w:lang w:val="ru-RU"/>
        </w:rPr>
        <w:t>Percona</w:t>
      </w:r>
      <w:proofErr w:type="spellEnd"/>
      <w:r w:rsidRPr="00BE05D6">
        <w:rPr>
          <w:sz w:val="28"/>
          <w:szCs w:val="28"/>
          <w:lang w:val="ru-RU"/>
        </w:rPr>
        <w:t xml:space="preserve"> и материалы CMU Database Group (видеокурсы профессора Э. Павло) демонстрируют практические подходы к решению задач производительности и масштабируемости. Официальная документация ведущих СУБД (</w:t>
      </w:r>
      <w:proofErr w:type="spellStart"/>
      <w:r w:rsidRPr="00BE05D6">
        <w:rPr>
          <w:sz w:val="28"/>
          <w:szCs w:val="28"/>
          <w:lang w:val="ru-RU"/>
        </w:rPr>
        <w:t>PostgreSQL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r w:rsidRPr="00BE05D6">
        <w:rPr>
          <w:sz w:val="28"/>
          <w:szCs w:val="28"/>
          <w:lang w:val="ru-RU"/>
        </w:rPr>
        <w:lastRenderedPageBreak/>
        <w:t xml:space="preserve">MySQL, Oracle, </w:t>
      </w:r>
      <w:proofErr w:type="spellStart"/>
      <w:r w:rsidRPr="00BE05D6">
        <w:rPr>
          <w:sz w:val="28"/>
          <w:szCs w:val="28"/>
          <w:lang w:val="ru-RU"/>
        </w:rPr>
        <w:t>MongoDB</w:t>
      </w:r>
      <w:proofErr w:type="spellEnd"/>
      <w:r w:rsidRPr="00BE05D6">
        <w:rPr>
          <w:sz w:val="28"/>
          <w:szCs w:val="28"/>
          <w:lang w:val="ru-RU"/>
        </w:rPr>
        <w:t>) является незаменимым источником для изучения конкретных технологий.</w:t>
      </w:r>
    </w:p>
    <w:p w14:paraId="01916C1C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b/>
          <w:bCs/>
          <w:sz w:val="28"/>
          <w:szCs w:val="28"/>
          <w:lang w:val="ru-RU"/>
        </w:rPr>
        <w:t>Новые парадигмы хранения данных.</w:t>
      </w:r>
      <w:r w:rsidRPr="00BE05D6">
        <w:rPr>
          <w:sz w:val="28"/>
          <w:szCs w:val="28"/>
          <w:lang w:val="ru-RU"/>
        </w:rPr>
        <w:t> Отдельное внимание в современных исследованиях и практических руководствах уделяется специализированным типам баз данных, адаптированным под конкретные сценарии использования. Колоночные хранилища (</w:t>
      </w:r>
      <w:proofErr w:type="spellStart"/>
      <w:r w:rsidRPr="00BE05D6">
        <w:rPr>
          <w:sz w:val="28"/>
          <w:szCs w:val="28"/>
          <w:lang w:val="ru-RU"/>
        </w:rPr>
        <w:t>ClickHouse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Vertica</w:t>
      </w:r>
      <w:proofErr w:type="spellEnd"/>
      <w:r w:rsidRPr="00BE05D6">
        <w:rPr>
          <w:sz w:val="28"/>
          <w:szCs w:val="28"/>
          <w:lang w:val="ru-RU"/>
        </w:rPr>
        <w:t xml:space="preserve">, Apache </w:t>
      </w:r>
      <w:proofErr w:type="spellStart"/>
      <w:r w:rsidRPr="00BE05D6">
        <w:rPr>
          <w:sz w:val="28"/>
          <w:szCs w:val="28"/>
          <w:lang w:val="ru-RU"/>
        </w:rPr>
        <w:t>Cassandra</w:t>
      </w:r>
      <w:proofErr w:type="spellEnd"/>
      <w:r w:rsidRPr="00BE05D6">
        <w:rPr>
          <w:sz w:val="28"/>
          <w:szCs w:val="28"/>
          <w:lang w:val="ru-RU"/>
        </w:rPr>
        <w:t>) оптимизированы для аналитических задач и обработки больших объёмов данных с преобладанием операций чтения. Time-</w:t>
      </w:r>
      <w:proofErr w:type="spellStart"/>
      <w:r w:rsidRPr="00BE05D6">
        <w:rPr>
          <w:sz w:val="28"/>
          <w:szCs w:val="28"/>
          <w:lang w:val="ru-RU"/>
        </w:rPr>
        <w:t>series</w:t>
      </w:r>
      <w:proofErr w:type="spellEnd"/>
      <w:r w:rsidRPr="00BE05D6">
        <w:rPr>
          <w:sz w:val="28"/>
          <w:szCs w:val="28"/>
          <w:lang w:val="ru-RU"/>
        </w:rPr>
        <w:t xml:space="preserve"> базы данных (</w:t>
      </w:r>
      <w:proofErr w:type="spellStart"/>
      <w:r w:rsidRPr="00BE05D6">
        <w:rPr>
          <w:sz w:val="28"/>
          <w:szCs w:val="28"/>
          <w:lang w:val="ru-RU"/>
        </w:rPr>
        <w:t>InfluxDB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TimescaleDB</w:t>
      </w:r>
      <w:proofErr w:type="spellEnd"/>
      <w:r w:rsidRPr="00BE05D6">
        <w:rPr>
          <w:sz w:val="28"/>
          <w:szCs w:val="28"/>
          <w:lang w:val="ru-RU"/>
        </w:rPr>
        <w:t xml:space="preserve">) предназначены для эффективной работы с временными рядами, что критически важно в задачах мониторинга, </w:t>
      </w:r>
      <w:proofErr w:type="spellStart"/>
      <w:r w:rsidRPr="00BE05D6">
        <w:rPr>
          <w:sz w:val="28"/>
          <w:szCs w:val="28"/>
          <w:lang w:val="ru-RU"/>
        </w:rPr>
        <w:t>IoT</w:t>
      </w:r>
      <w:proofErr w:type="spellEnd"/>
      <w:r w:rsidRPr="00BE05D6">
        <w:rPr>
          <w:sz w:val="28"/>
          <w:szCs w:val="28"/>
          <w:lang w:val="ru-RU"/>
        </w:rPr>
        <w:t xml:space="preserve">-систем и финансовой аналитики. </w:t>
      </w:r>
      <w:proofErr w:type="spellStart"/>
      <w:r w:rsidRPr="00BE05D6">
        <w:rPr>
          <w:sz w:val="28"/>
          <w:szCs w:val="28"/>
          <w:lang w:val="ru-RU"/>
        </w:rPr>
        <w:t>Графовые</w:t>
      </w:r>
      <w:proofErr w:type="spellEnd"/>
      <w:r w:rsidRPr="00BE05D6">
        <w:rPr>
          <w:sz w:val="28"/>
          <w:szCs w:val="28"/>
          <w:lang w:val="ru-RU"/>
        </w:rPr>
        <w:t xml:space="preserve"> базы данных (Neo4j, Amazon </w:t>
      </w:r>
      <w:proofErr w:type="spellStart"/>
      <w:r w:rsidRPr="00BE05D6">
        <w:rPr>
          <w:sz w:val="28"/>
          <w:szCs w:val="28"/>
          <w:lang w:val="ru-RU"/>
        </w:rPr>
        <w:t>Neptune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JanusGraph</w:t>
      </w:r>
      <w:proofErr w:type="spellEnd"/>
      <w:r w:rsidRPr="00BE05D6">
        <w:rPr>
          <w:sz w:val="28"/>
          <w:szCs w:val="28"/>
          <w:lang w:val="ru-RU"/>
        </w:rPr>
        <w:t>) обеспечивают эффективный анализ связей и сетевых структур, находя применение в социальных сетях, системах рекомендаций и детекции мошенничества.</w:t>
      </w:r>
    </w:p>
    <w:p w14:paraId="42ED125D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sz w:val="28"/>
          <w:szCs w:val="28"/>
          <w:lang w:val="ru-RU"/>
        </w:rPr>
        <w:t xml:space="preserve">Особое место занимают </w:t>
      </w:r>
      <w:proofErr w:type="spellStart"/>
      <w:r w:rsidRPr="00BE05D6">
        <w:rPr>
          <w:sz w:val="28"/>
          <w:szCs w:val="28"/>
          <w:lang w:val="ru-RU"/>
        </w:rPr>
        <w:t>so-called</w:t>
      </w:r>
      <w:proofErr w:type="spellEnd"/>
      <w:r w:rsidRPr="00BE05D6">
        <w:rPr>
          <w:sz w:val="28"/>
          <w:szCs w:val="28"/>
          <w:lang w:val="ru-RU"/>
        </w:rPr>
        <w:t xml:space="preserve"> </w:t>
      </w:r>
      <w:proofErr w:type="spellStart"/>
      <w:r w:rsidRPr="00BE05D6">
        <w:rPr>
          <w:sz w:val="28"/>
          <w:szCs w:val="28"/>
          <w:lang w:val="ru-RU"/>
        </w:rPr>
        <w:t>NewSQL</w:t>
      </w:r>
      <w:proofErr w:type="spellEnd"/>
      <w:r w:rsidRPr="00BE05D6">
        <w:rPr>
          <w:sz w:val="28"/>
          <w:szCs w:val="28"/>
          <w:lang w:val="ru-RU"/>
        </w:rPr>
        <w:t>-системы (</w:t>
      </w:r>
      <w:proofErr w:type="spellStart"/>
      <w:r w:rsidRPr="00BE05D6">
        <w:rPr>
          <w:sz w:val="28"/>
          <w:szCs w:val="28"/>
          <w:lang w:val="ru-RU"/>
        </w:rPr>
        <w:t>CockroachDB</w:t>
      </w:r>
      <w:proofErr w:type="spellEnd"/>
      <w:r w:rsidRPr="00BE05D6">
        <w:rPr>
          <w:sz w:val="28"/>
          <w:szCs w:val="28"/>
          <w:lang w:val="ru-RU"/>
        </w:rPr>
        <w:t xml:space="preserve">, </w:t>
      </w:r>
      <w:proofErr w:type="spellStart"/>
      <w:r w:rsidRPr="00BE05D6">
        <w:rPr>
          <w:sz w:val="28"/>
          <w:szCs w:val="28"/>
          <w:lang w:val="ru-RU"/>
        </w:rPr>
        <w:t>TiDB</w:t>
      </w:r>
      <w:proofErr w:type="spellEnd"/>
      <w:r w:rsidRPr="00BE05D6">
        <w:rPr>
          <w:sz w:val="28"/>
          <w:szCs w:val="28"/>
          <w:lang w:val="ru-RU"/>
        </w:rPr>
        <w:t xml:space="preserve">, Google </w:t>
      </w:r>
      <w:proofErr w:type="spellStart"/>
      <w:r w:rsidRPr="00BE05D6">
        <w:rPr>
          <w:sz w:val="28"/>
          <w:szCs w:val="28"/>
          <w:lang w:val="ru-RU"/>
        </w:rPr>
        <w:t>Spanner</w:t>
      </w:r>
      <w:proofErr w:type="spellEnd"/>
      <w:r w:rsidRPr="00BE05D6">
        <w:rPr>
          <w:sz w:val="28"/>
          <w:szCs w:val="28"/>
          <w:lang w:val="ru-RU"/>
        </w:rPr>
        <w:t>), которые стремятся объединить преимущества традиционных реляционных СУБД (</w:t>
      </w:r>
      <w:proofErr w:type="spellStart"/>
      <w:r w:rsidRPr="00BE05D6">
        <w:rPr>
          <w:sz w:val="28"/>
          <w:szCs w:val="28"/>
          <w:lang w:val="ru-RU"/>
        </w:rPr>
        <w:t>транзакционность</w:t>
      </w:r>
      <w:proofErr w:type="spellEnd"/>
      <w:r w:rsidRPr="00BE05D6">
        <w:rPr>
          <w:sz w:val="28"/>
          <w:szCs w:val="28"/>
          <w:lang w:val="ru-RU"/>
        </w:rPr>
        <w:t xml:space="preserve">, SQL-интерфейс) с масштабируемостью </w:t>
      </w:r>
      <w:proofErr w:type="spellStart"/>
      <w:r w:rsidRPr="00BE05D6">
        <w:rPr>
          <w:sz w:val="28"/>
          <w:szCs w:val="28"/>
          <w:lang w:val="ru-RU"/>
        </w:rPr>
        <w:t>NoSQL</w:t>
      </w:r>
      <w:proofErr w:type="spellEnd"/>
      <w:r w:rsidRPr="00BE05D6">
        <w:rPr>
          <w:sz w:val="28"/>
          <w:szCs w:val="28"/>
          <w:lang w:val="ru-RU"/>
        </w:rPr>
        <w:t>-решений. Эти разработки отражают тенденцию к созданию универсальных систем, способных удовлетворить широкий спектр требований современных приложений.</w:t>
      </w:r>
    </w:p>
    <w:p w14:paraId="1BE6495D" w14:textId="77777777" w:rsidR="00BE05D6" w:rsidRPr="00BE05D6" w:rsidRDefault="00BE05D6" w:rsidP="00BE05D6">
      <w:pPr>
        <w:ind w:firstLine="709"/>
        <w:jc w:val="both"/>
        <w:rPr>
          <w:sz w:val="28"/>
          <w:szCs w:val="28"/>
          <w:lang w:val="ru-RU"/>
        </w:rPr>
      </w:pPr>
      <w:r w:rsidRPr="00BE05D6">
        <w:rPr>
          <w:b/>
          <w:bCs/>
          <w:sz w:val="28"/>
          <w:szCs w:val="28"/>
          <w:lang w:val="ru-RU"/>
        </w:rPr>
        <w:t>Заключение.</w:t>
      </w:r>
      <w:r w:rsidRPr="00BE05D6">
        <w:rPr>
          <w:sz w:val="28"/>
          <w:szCs w:val="28"/>
          <w:lang w:val="ru-RU"/>
        </w:rPr>
        <w:t> Таким образом, анализ источников свидетельствует о значительном расширении и усложнении предметной области технологий баз данных. Современный специалист должен обладать не только знанием фундаментальных принципов реляционной теории, но и пониманием современных архитектурных подходов, умением выбирать подходящие инструменты в зависимости от характера данных и бизнес-требований. Сочетание академических учебников, научных публикаций и профессиональных ресурсов позволяет сформировать комплексное представление о состоянии и перспективах развития технологий баз данных.</w:t>
      </w:r>
    </w:p>
    <w:p w14:paraId="7730781A" w14:textId="77777777" w:rsidR="00F12C76" w:rsidRPr="00BE05D6" w:rsidRDefault="00F12C76" w:rsidP="00BE05D6">
      <w:pPr>
        <w:ind w:firstLine="709"/>
        <w:jc w:val="both"/>
        <w:rPr>
          <w:sz w:val="28"/>
          <w:szCs w:val="28"/>
        </w:rPr>
      </w:pPr>
    </w:p>
    <w:sectPr w:rsidR="00F12C76" w:rsidRPr="00BE05D6" w:rsidSect="006C0B77">
      <w:headerReference w:type="default" r:id="rId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2D26C" w14:textId="77777777" w:rsidR="002C2543" w:rsidRDefault="002C2543" w:rsidP="00BE05D6">
      <w:pPr>
        <w:spacing w:line="240" w:lineRule="auto"/>
      </w:pPr>
      <w:r>
        <w:separator/>
      </w:r>
    </w:p>
  </w:endnote>
  <w:endnote w:type="continuationSeparator" w:id="0">
    <w:p w14:paraId="54B3DAE2" w14:textId="77777777" w:rsidR="002C2543" w:rsidRDefault="002C2543" w:rsidP="00BE05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FAD5" w14:textId="77777777" w:rsidR="002C2543" w:rsidRDefault="002C2543" w:rsidP="00BE05D6">
      <w:pPr>
        <w:spacing w:line="240" w:lineRule="auto"/>
      </w:pPr>
      <w:r>
        <w:separator/>
      </w:r>
    </w:p>
  </w:footnote>
  <w:footnote w:type="continuationSeparator" w:id="0">
    <w:p w14:paraId="4FCACC81" w14:textId="77777777" w:rsidR="002C2543" w:rsidRDefault="002C2543" w:rsidP="00BE05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E23D" w14:textId="1AFEFEA5" w:rsidR="00BE05D6" w:rsidRPr="00BE05D6" w:rsidRDefault="00BE05D6">
    <w:pPr>
      <w:pStyle w:val="ac"/>
      <w:rPr>
        <w:lang w:val="ru-RU"/>
      </w:rPr>
    </w:pPr>
    <w:r>
      <w:rPr>
        <w:lang w:val="ru-RU"/>
      </w:rPr>
      <w:t>Аннануров ДП ИВТ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D6"/>
    <w:rsid w:val="001F5B6B"/>
    <w:rsid w:val="002C2543"/>
    <w:rsid w:val="006C0B77"/>
    <w:rsid w:val="008242FF"/>
    <w:rsid w:val="00843972"/>
    <w:rsid w:val="00870751"/>
    <w:rsid w:val="00922C48"/>
    <w:rsid w:val="00B915B7"/>
    <w:rsid w:val="00BE05D6"/>
    <w:rsid w:val="00DC05F6"/>
    <w:rsid w:val="00E2315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F825C"/>
  <w15:chartTrackingRefBased/>
  <w15:docId w15:val="{A18D8E6B-D4EE-4421-AA96-5EB0E433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B6B"/>
    <w:pPr>
      <w:spacing w:after="0" w:line="360" w:lineRule="auto"/>
    </w:pPr>
    <w:rPr>
      <w:rFonts w:ascii="Times New Roman" w:hAnsi="Times New Roman" w:cs="Arial"/>
      <w:kern w:val="0"/>
      <w:sz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5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5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5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5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5D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E05D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E05D6"/>
    <w:rPr>
      <w:rFonts w:eastAsiaTheme="majorEastAsia" w:cstheme="majorBidi"/>
      <w:color w:val="2E74B5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E05D6"/>
    <w:rPr>
      <w:rFonts w:eastAsiaTheme="majorEastAsia" w:cstheme="majorBidi"/>
      <w:i/>
      <w:iCs/>
      <w:color w:val="2E74B5" w:themeColor="accent1" w:themeShade="BF"/>
      <w:kern w:val="0"/>
      <w:sz w:val="24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E05D6"/>
    <w:rPr>
      <w:rFonts w:eastAsiaTheme="majorEastAsia" w:cstheme="majorBidi"/>
      <w:color w:val="2E74B5" w:themeColor="accent1" w:themeShade="BF"/>
      <w:kern w:val="0"/>
      <w:sz w:val="24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E05D6"/>
    <w:rPr>
      <w:rFonts w:eastAsiaTheme="majorEastAsia" w:cstheme="majorBidi"/>
      <w:i/>
      <w:iCs/>
      <w:color w:val="595959" w:themeColor="text1" w:themeTint="A6"/>
      <w:kern w:val="0"/>
      <w:sz w:val="24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E05D6"/>
    <w:rPr>
      <w:rFonts w:eastAsiaTheme="majorEastAsia" w:cstheme="majorBidi"/>
      <w:color w:val="595959" w:themeColor="text1" w:themeTint="A6"/>
      <w:kern w:val="0"/>
      <w:sz w:val="24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E05D6"/>
    <w:rPr>
      <w:rFonts w:eastAsiaTheme="majorEastAsia" w:cstheme="majorBidi"/>
      <w:i/>
      <w:iCs/>
      <w:color w:val="272727" w:themeColor="text1" w:themeTint="D8"/>
      <w:kern w:val="0"/>
      <w:sz w:val="24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E05D6"/>
    <w:rPr>
      <w:rFonts w:eastAsiaTheme="majorEastAsia" w:cstheme="majorBidi"/>
      <w:color w:val="272727" w:themeColor="text1" w:themeTint="D8"/>
      <w:kern w:val="0"/>
      <w:sz w:val="24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E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5D6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E05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5D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E0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5D6"/>
    <w:rPr>
      <w:rFonts w:ascii="Times New Roman" w:hAnsi="Times New Roman" w:cs="Arial"/>
      <w:i/>
      <w:iCs/>
      <w:color w:val="404040" w:themeColor="text1" w:themeTint="BF"/>
      <w:kern w:val="0"/>
      <w:sz w:val="24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BE0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5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5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5D6"/>
    <w:rPr>
      <w:rFonts w:ascii="Times New Roman" w:hAnsi="Times New Roman" w:cs="Arial"/>
      <w:i/>
      <w:iCs/>
      <w:color w:val="2E74B5" w:themeColor="accent1" w:themeShade="BF"/>
      <w:kern w:val="0"/>
      <w:sz w:val="24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BE05D6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E05D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E05D6"/>
    <w:rPr>
      <w:rFonts w:ascii="Times New Roman" w:hAnsi="Times New Roman" w:cs="Arial"/>
      <w:kern w:val="0"/>
      <w:sz w:val="24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E05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E05D6"/>
    <w:rPr>
      <w:rFonts w:ascii="Times New Roman" w:hAnsi="Times New Roman" w:cs="Arial"/>
      <w:kern w:val="0"/>
      <w:sz w:val="24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2025-12-26T18:33:00Z</dcterms:created>
  <dcterms:modified xsi:type="dcterms:W3CDTF">2025-12-26T18:34:00Z</dcterms:modified>
</cp:coreProperties>
</file>