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480" w:after="120"/>
        <w:jc w:val="center"/>
      </w:pPr>
      <w:r>
        <w:rPr>
          <w:rFonts w:ascii="Calibri" w:hAnsi="Calibri"/>
          <w:b/>
          <w:color w:val="1F3A6E"/>
          <w:sz w:val="52"/>
        </w:rPr>
        <w:t>RAN Optimization Dashboard</w:t>
      </w:r>
    </w:p>
    <w:p>
      <w:pPr>
        <w:spacing w:before="80" w:after="480"/>
        <w:jc w:val="center"/>
      </w:pPr>
      <w:r>
        <w:rPr>
          <w:rFonts w:ascii="Calibri" w:hAnsi="Calibri"/>
          <w:i/>
          <w:color w:val="2B4C7E"/>
          <w:sz w:val="28"/>
        </w:rPr>
        <w:t>AI-Powered Intent-Based Network Management</w:t>
        <w:br/>
        <w:t>for 5G Heterogeneous Networks</w:t>
      </w:r>
    </w:p>
    <w:p>
      <w:pPr>
        <w:spacing w:before="80" w:after="80"/>
        <w:pBdr>
          <w:bottom w:val="single" w:sz="6" w:space="1" w:color="2B4C7E"/>
        </w:pBdr>
      </w:pPr>
    </w:p>
    <w:p>
      <w:pPr>
        <w:spacing w:before="240" w:after="240"/>
        <w:ind w:left="567" w:right="567"/>
      </w:pPr>
      <w:r>
        <w:rPr>
          <w:rFonts w:ascii="Calibri" w:hAnsi="Calibri"/>
          <w:b/>
          <w:color w:val="1F3A6E"/>
          <w:sz w:val="20"/>
        </w:rPr>
        <w:t xml:space="preserve">Abstract — </w:t>
      </w:r>
      <w:r>
        <w:rPr>
          <w:rFonts w:ascii="Calibri" w:hAnsi="Calibri"/>
          <w:i/>
          <w:sz w:val="20"/>
        </w:rPr>
        <w:t>The RAN Optimization Dashboard is a full-stack, AI-powered web application that brings the principles of Intent-Based Networking (IBN) to life in a 5G Radio Access Network (RAN) environment. Network engineers express their operational goals in plain natural language -- such as "Prioritize emergency communications at the central hospital now" -- and a four-stage autonomous AI pipeline transforms that intent into a structured, standards-compliant network optimization plan. The system analyzes real network KPIs drawn from a 6G Heterogeneous Network dataset, generates 3GPP Release 18 configurations, visualizes affected cells on an interactive topology map, and quantifies the performance improvement through before/after KPI comparisons. This document covers the theoretical foundations, system architecture, implementation details, dataset requirements, API specification, and deployment procedures.</w:t>
      </w:r>
    </w:p>
    <w:p>
      <w:pPr>
        <w:spacing w:before="80" w:after="80"/>
        <w:pBdr>
          <w:bottom w:val="single" w:sz="6" w:space="1" w:color="2B4C7E"/>
        </w:pBdr>
      </w:pPr>
    </w:p>
    <w:p>
      <w:r>
        <w:br w:type="page"/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1. Introduction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The management of modern mobile networks is one of the most complex challenges in the telecommunications industry. A single 5G deployment may involve thousands of radio cells spread across a city, each continuously generating streams of performance data — throughput, latency, packet loss, signal quality — that operators must monitor and act upon in near real time [1]. When a major event fills a stadium, when a hospital requires ultra-reliable low-latency communication for remote surgery, or when a factory floor deploys hundreds of IoT sensors simultaneously, the network must adapt dynamically and precisely.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Traditionally, this adaptation has required highly skilled radio frequency (RF) engineers to manually translate operational goals into low-level network configuration commands. This process is time-consuming, error-prone, and increasingly unsustainable as network density and complexity grow with each generation of wireless standards [4].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sz w:val="22"/>
        </w:rPr>
        <w:t>RAN Optimization Dashboard</w:t>
      </w:r>
      <w:r>
        <w:rPr>
          <w:rFonts w:ascii="Calibri" w:hAnsi="Calibri"/>
          <w:sz w:val="22"/>
        </w:rPr>
        <w:t xml:space="preserve"> addresses this challenge by combining two transformative technologies: </w:t>
      </w:r>
      <w:r>
        <w:rPr>
          <w:rFonts w:ascii="Calibri" w:hAnsi="Calibri"/>
          <w:b/>
          <w:sz w:val="22"/>
        </w:rPr>
        <w:t>Intent-Based Networking (IBN)</w:t>
      </w:r>
      <w:r>
        <w:rPr>
          <w:rFonts w:ascii="Calibri" w:hAnsi="Calibri"/>
          <w:sz w:val="22"/>
        </w:rPr>
        <w:t xml:space="preserve"> [3], which elevates the human-machine interface from command syntax to natural language goals, and </w:t>
      </w:r>
      <w:r>
        <w:rPr>
          <w:rFonts w:ascii="Calibri" w:hAnsi="Calibri"/>
          <w:b/>
          <w:sz w:val="22"/>
        </w:rPr>
        <w:t>Agentic AI</w:t>
      </w:r>
      <w:r>
        <w:rPr>
          <w:rFonts w:ascii="Calibri" w:hAnsi="Calibri"/>
          <w:sz w:val="22"/>
        </w:rPr>
        <w:t xml:space="preserve"> [15], which deploys autonomous, specialized AI agents to reason over the intent and produce actionable network configurations grounded in real data.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The result is a system where a network engineer types a single sentence and receives, within seconds, a complete optimization plan — including the specific cells affected, the 3GPP Release 18-compliant configuration parameters [11], and a projected KPI improvement — visualized on an interactive network map.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1 ]  </w:t>
      </w:r>
      <w:r>
        <w:rPr>
          <w:i/>
          <w:color w:val="444444"/>
          <w:sz w:val="19"/>
        </w:rPr>
        <w:t>Full dashboard overview — Network Monitor page showing live topology, KPI cards, and time-series chart.</w:t>
        <w:br/>
        <w:t>Screenshot: http://localhost:4000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2. Background and Theoretical Foundations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2.1  Telecommunications and the Evolution to 5G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 xml:space="preserve">Telecommunications has undergone rapid generational evolution over the past four decades. Each generation introduced fundamentally new use cases beyond speed improvements [4]. </w:t>
      </w:r>
      <w:r>
        <w:rPr>
          <w:rFonts w:ascii="Calibri" w:hAnsi="Calibri"/>
          <w:b/>
          <w:sz w:val="22"/>
        </w:rPr>
        <w:t>1G (1980s)</w:t>
      </w:r>
      <w:r>
        <w:rPr>
          <w:rFonts w:ascii="Calibri" w:hAnsi="Calibri"/>
          <w:sz w:val="22"/>
        </w:rPr>
        <w:t xml:space="preserve"> introduced analog voice; </w:t>
      </w:r>
      <w:r>
        <w:rPr>
          <w:rFonts w:ascii="Calibri" w:hAnsi="Calibri"/>
          <w:b/>
          <w:sz w:val="22"/>
        </w:rPr>
        <w:t>2G (1990s)</w:t>
      </w:r>
      <w:r>
        <w:rPr>
          <w:rFonts w:ascii="Calibri" w:hAnsi="Calibri"/>
          <w:sz w:val="22"/>
        </w:rPr>
        <w:t xml:space="preserve"> digitized voice and added SMS and encryption (GSM); </w:t>
      </w:r>
      <w:r>
        <w:rPr>
          <w:rFonts w:ascii="Calibri" w:hAnsi="Calibri"/>
          <w:b/>
          <w:sz w:val="22"/>
        </w:rPr>
        <w:t>3G (2000s)</w:t>
      </w:r>
      <w:r>
        <w:rPr>
          <w:rFonts w:ascii="Calibri" w:hAnsi="Calibri"/>
          <w:sz w:val="22"/>
        </w:rPr>
        <w:t xml:space="preserve"> enabled mobile data and video calling; </w:t>
      </w:r>
      <w:r>
        <w:rPr>
          <w:rFonts w:ascii="Calibri" w:hAnsi="Calibri"/>
          <w:b/>
          <w:sz w:val="22"/>
        </w:rPr>
        <w:t>4G LTE (2010s)</w:t>
      </w:r>
      <w:r>
        <w:rPr>
          <w:rFonts w:ascii="Calibri" w:hAnsi="Calibri"/>
          <w:sz w:val="22"/>
        </w:rPr>
        <w:t xml:space="preserve"> delivered broadband mobile internet and the smartphone revolution. </w:t>
      </w:r>
      <w:r>
        <w:rPr>
          <w:rFonts w:ascii="Calibri" w:hAnsi="Calibri"/>
          <w:b/>
          <w:sz w:val="22"/>
        </w:rPr>
        <w:t>5G (2020s)</w:t>
      </w:r>
      <w:r>
        <w:rPr>
          <w:rFonts w:ascii="Calibri" w:hAnsi="Calibri"/>
          <w:sz w:val="22"/>
        </w:rPr>
        <w:t xml:space="preserve"> is defined by three foundational service categories standardized by 3GPP [1]: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eMBB (Enhanced Mobile Broadband):</w:t>
      </w:r>
      <w:r>
        <w:rPr>
          <w:rFonts w:ascii="Calibri" w:hAnsi="Calibri"/>
          <w:sz w:val="22"/>
        </w:rPr>
        <w:t xml:space="preserve"> Gigabit-class data rates for consumer applications.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URLLC (Ultra-Reliable Low-Latency Communication):</w:t>
      </w:r>
      <w:r>
        <w:rPr>
          <w:rFonts w:ascii="Calibri" w:hAnsi="Calibri"/>
          <w:sz w:val="22"/>
        </w:rPr>
        <w:t xml:space="preserve"> Sub-millisecond latency for mission-critical applications such as autonomous vehicles, remote surgery, and industrial automation.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mMTC (Massive Machine-Type Communication):</w:t>
      </w:r>
      <w:r>
        <w:rPr>
          <w:rFonts w:ascii="Calibri" w:hAnsi="Calibri"/>
          <w:sz w:val="22"/>
        </w:rPr>
        <w:t xml:space="preserve"> Connectivity for billions of IoT devices with minimal power consumption [14].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2 ]  </w:t>
      </w:r>
      <w:r>
        <w:rPr>
          <w:i/>
          <w:color w:val="444444"/>
          <w:sz w:val="19"/>
        </w:rPr>
        <w:t>5G three-slice architecture diagram — eMBB, URLLC, mMTC bands with example use cases.</w:t>
        <w:br/>
        <w:t>Source: Block diagram (draw.io / Figma)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2.2  Radio Access Networks (RAN)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 xml:space="preserve">The Radio Access Network (RAN) is the portion of a mobile network responsible for wirelessly connecting User Equipment (UE) to the core network — it is the 'last mile' of wireless connectivity and the primary site of network optimization work [7]. In 5G, base stations are called </w:t>
      </w:r>
      <w:r>
        <w:rPr>
          <w:rFonts w:ascii="Calibri" w:hAnsi="Calibri"/>
          <w:b/>
          <w:sz w:val="22"/>
        </w:rPr>
        <w:t>gNodeBs (gNBs)</w:t>
      </w:r>
      <w:r>
        <w:rPr>
          <w:rFonts w:ascii="Calibri" w:hAnsi="Calibri"/>
          <w:sz w:val="22"/>
        </w:rPr>
        <w:t>, each managing one or more radio cells. A cell handles radio scheduling, beamforming, handover management, and quality-of-service enforcement for all devices within its coverage zone.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 xml:space="preserve">A key challenge in RAN management is the configuration space complexity. A 5G gNB running </w:t>
      </w:r>
      <w:r>
        <w:rPr>
          <w:rFonts w:ascii="Calibri" w:hAnsi="Calibri"/>
          <w:b/>
          <w:sz w:val="22"/>
        </w:rPr>
        <w:t>NR (New Radio)</w:t>
      </w:r>
      <w:r>
        <w:rPr>
          <w:rFonts w:ascii="Calibri" w:hAnsi="Calibri"/>
          <w:sz w:val="22"/>
        </w:rPr>
        <w:t xml:space="preserve"> numerology can support multiple component carriers, MIMO layers, and network slices simultaneously [11]. Optimizing these dimensions for a specific operational goal requires deep domain expertise — precisely the expertise this system encodes into its AI agents.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3 ]  </w:t>
      </w:r>
      <w:r>
        <w:rPr>
          <w:i/>
          <w:color w:val="444444"/>
          <w:sz w:val="19"/>
        </w:rPr>
        <w:t>5G RAN architecture diagram — UE → gNB → 5G Core Network signal path.</w:t>
        <w:br/>
        <w:t>Source: 3GPP / O-RAN documentation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2.3  Heterogeneous Networks (HetNet)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 xml:space="preserve">A </w:t>
      </w:r>
      <w:r>
        <w:rPr>
          <w:rFonts w:ascii="Calibri" w:hAnsi="Calibri"/>
          <w:b/>
          <w:sz w:val="22"/>
        </w:rPr>
        <w:t>Heterogeneous Network (HetNet)</w:t>
      </w:r>
      <w:r>
        <w:rPr>
          <w:rFonts w:ascii="Calibri" w:hAnsi="Calibri"/>
          <w:sz w:val="22"/>
        </w:rPr>
        <w:t xml:space="preserve"> combines multiple tiers of base stations with different transmission powers, coverage areas, and roles within the same geographic area [5]. Rather than relying solely on large macro cells, a HetNet deploys smaller cells as a dense underlay to handle high-traffic hotspots and improve spatial spectrum reuse. The four cell types in this system reflect the standard HetNet hierarchy: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Cell Type</w:t>
            </w:r>
          </w:p>
        </w:tc>
        <w:tc>
          <w:tcPr>
            <w:tcW w:type="dxa" w:w="1984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4819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Typical Use Case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Macro</w:t>
            </w:r>
          </w:p>
        </w:tc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1–35 km</w:t>
            </w:r>
          </w:p>
        </w:tc>
        <w:tc>
          <w:tcPr>
            <w:tcW w:type="dxa" w:w="4819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Wide-area coverage, rural and suburban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Micro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200 m–2 km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Urban coverage, moderate capacity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Pico</w:t>
            </w:r>
          </w:p>
        </w:tc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10–200 m</w:t>
            </w:r>
          </w:p>
        </w:tc>
        <w:tc>
          <w:tcPr>
            <w:tcW w:type="dxa" w:w="4819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Indoor/outdoor hotspots, shopping malls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Femto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&lt; 10 m</w:t>
            </w:r>
          </w:p>
        </w:tc>
        <w:tc>
          <w:tcPr>
            <w:tcW w:type="dxa" w:w="4819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Enterprise buildings, home offices</w:t>
            </w:r>
          </w:p>
        </w:tc>
      </w:tr>
    </w:tbl>
    <w:p/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4 ]  </w:t>
      </w:r>
      <w:r>
        <w:rPr>
          <w:i/>
          <w:color w:val="444444"/>
          <w:sz w:val="19"/>
        </w:rPr>
        <w:t>HetNet topology — multi-tier cell visualization with hover tooltip showing cell type, zone, and KPIs.</w:t>
        <w:br/>
        <w:t>Screenshot: http://localhost:4000 (hover any cell node)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2.4  Key Performance Indicators in RAN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Network engineers assess cell health through a standardized set of Key Performance Indicators (KPIs). The following metrics are monitored in this system: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Throughput (Mbps):</w:t>
      </w:r>
      <w:r>
        <w:rPr>
          <w:rFonts w:ascii="Calibri" w:hAnsi="Calibri"/>
          <w:sz w:val="22"/>
        </w:rPr>
        <w:t xml:space="preserve"> Volume of user data transmitted per unit time. The most direct measure of user experience. Sustained values below 60 Mbps indicate significant degradation.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Latency (ms):</w:t>
      </w:r>
      <w:r>
        <w:rPr>
          <w:rFonts w:ascii="Calibri" w:hAnsi="Calibri"/>
          <w:sz w:val="22"/>
        </w:rPr>
        <w:t xml:space="preserve"> Round-trip packet delay. 5G URLLC targets sub-1 ms over-the-air latency. Values above 50 ms are a warning; above 80 ms is critical [1].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Resource Utilization (%):</w:t>
      </w:r>
      <w:r>
        <w:rPr>
          <w:rFonts w:ascii="Calibri" w:hAnsi="Calibri"/>
          <w:sz w:val="22"/>
        </w:rPr>
        <w:t xml:space="preserve"> Fraction of radio Resource Blocks (RBs) actively allocated. Values above 85% signal congestion risk.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Packet Loss Ratio:</w:t>
      </w:r>
      <w:r>
        <w:rPr>
          <w:rFonts w:ascii="Calibri" w:hAnsi="Calibri"/>
          <w:sz w:val="22"/>
        </w:rPr>
        <w:t xml:space="preserve"> Fraction of transmitted packets not delivered. Above 1% degrades TCP and video performance; above 5% indicates a serious fault.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Signal-to-Noise Ratio (SNR, dB):</w:t>
      </w:r>
      <w:r>
        <w:rPr>
          <w:rFonts w:ascii="Calibri" w:hAnsi="Calibri"/>
          <w:sz w:val="22"/>
        </w:rPr>
        <w:t xml:space="preserve"> Logarithmic ratio of signal to background noise. Higher SNR enables higher-order modulation (e.g., 256-QAM) and greater throughput.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QoS Satisfaction:</w:t>
      </w:r>
      <w:r>
        <w:rPr>
          <w:rFonts w:ascii="Calibri" w:hAnsi="Calibri"/>
          <w:sz w:val="22"/>
        </w:rPr>
        <w:t xml:space="preserve"> Composite score of how well a cell meets its 5QI (5G QoS Identifier) commitments across all active service classes [1].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5 ]  </w:t>
      </w:r>
      <w:r>
        <w:rPr>
          <w:i/>
          <w:color w:val="444444"/>
          <w:sz w:val="19"/>
        </w:rPr>
        <w:t>KPI Summary Cards — live network-wide averages for throughput, latency, load, and cell health counts.</w:t>
        <w:br/>
        <w:t>Screenshot: http://localhost:4000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6 ]  </w:t>
      </w:r>
      <w:r>
        <w:rPr>
          <w:i/>
          <w:color w:val="444444"/>
          <w:sz w:val="19"/>
        </w:rPr>
        <w:t>Live KPI Time-Series Chart — rolling 20-tick throughput, latency, and load history.</w:t>
        <w:br/>
        <w:t>Screenshot: http://localhost:4000 (after ~1 minute)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2.5  Intent-Based Networking (IBN)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Intent-Based Networking (IBN) is a network management paradigm that shifts the operator interface from imperative commands to declarative goals [3]. The IBN concept was formalized by the IETF [3] and further developed by the TMForum [12] and ETSI [20] for autonomous network management. It represents the foundational philosophy behind 6G's vision of self-driving networks [12]. The translation from intent to action involves four steps that this system implements directly: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Intent Recognition</w:t>
      </w:r>
      <w:r>
        <w:rPr>
          <w:rFonts w:ascii="Calibri" w:hAnsi="Calibri"/>
          <w:sz w:val="22"/>
        </w:rPr>
        <w:t xml:space="preserve"> — parsing natural language to identify the operational goal, affected zone, urgency, and network slice type.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Intent Validation</w:t>
      </w:r>
      <w:r>
        <w:rPr>
          <w:rFonts w:ascii="Calibri" w:hAnsi="Calibri"/>
          <w:sz w:val="22"/>
        </w:rPr>
        <w:t xml:space="preserve"> — checking that the requested goal is feasible given current network state.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Policy Generation</w:t>
      </w:r>
      <w:r>
        <w:rPr>
          <w:rFonts w:ascii="Calibri" w:hAnsi="Calibri"/>
          <w:sz w:val="22"/>
        </w:rPr>
        <w:t xml:space="preserve"> — translating the intent into specific network configuration parameters [2].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Execution and Verification</w:t>
      </w:r>
      <w:r>
        <w:rPr>
          <w:rFonts w:ascii="Calibri" w:hAnsi="Calibri"/>
          <w:sz w:val="22"/>
        </w:rPr>
        <w:t xml:space="preserve"> — applying the configuration and monitoring KPIs to confirm fulfillment (represented by the before/after KPI comparison).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7 ]  </w:t>
      </w:r>
      <w:r>
        <w:rPr>
          <w:i/>
          <w:color w:val="444444"/>
          <w:sz w:val="19"/>
        </w:rPr>
        <w:t>IBN workflow diagram — Natural Language Intent → Intent Recognition → Policy Generation → Network Action.</w:t>
        <w:br/>
        <w:t>Source: Block diagram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8 ]  </w:t>
      </w:r>
      <w:r>
        <w:rPr>
          <w:i/>
          <w:color w:val="444444"/>
          <w:sz w:val="19"/>
        </w:rPr>
        <w:t>Intent submission form — text area with sample intent typed in, and history chips below.</w:t>
        <w:br/>
        <w:t>Screenshot: http://localhost:4000/intent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2.6  Agentic AI and Multi-Agent Systems</w:t>
      </w:r>
    </w:p>
    <w:p>
      <w:pPr>
        <w:spacing w:before="0" w:after="120"/>
        <w:ind w:firstLine="0"/>
      </w:pPr>
      <w:r>
        <w:rPr>
          <w:rFonts w:ascii="Calibri" w:hAnsi="Calibri"/>
          <w:b/>
          <w:sz w:val="22"/>
        </w:rPr>
        <w:t>Agentic AI</w:t>
      </w:r>
      <w:r>
        <w:rPr>
          <w:rFonts w:ascii="Calibri" w:hAnsi="Calibri"/>
          <w:sz w:val="22"/>
        </w:rPr>
        <w:t xml:space="preserve"> refers to AI systems that autonomously pursue goals by planning, making decisions, using tools, and executing multi-step tasks [10]. Rather than generating a single static response, an agentic system reasons over a goal, breaks it into sub-tasks, calls external tools, evaluates intermediate results, and iterates until the goal is achieved.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 xml:space="preserve">A </w:t>
      </w:r>
      <w:r>
        <w:rPr>
          <w:rFonts w:ascii="Calibri" w:hAnsi="Calibri"/>
          <w:b/>
          <w:sz w:val="22"/>
        </w:rPr>
        <w:t>Multi-Agent System (MAS)</w:t>
      </w:r>
      <w:r>
        <w:rPr>
          <w:rFonts w:ascii="Calibri" w:hAnsi="Calibri"/>
          <w:sz w:val="22"/>
        </w:rPr>
        <w:t xml:space="preserve"> deploys multiple specialized agents that collaborate to solve problems too complex for any single agent [10]. In this system, </w:t>
      </w:r>
      <w:r>
        <w:rPr>
          <w:rFonts w:ascii="Calibri" w:hAnsi="Calibri"/>
          <w:b/>
          <w:sz w:val="22"/>
        </w:rPr>
        <w:t>CrewAI</w:t>
      </w:r>
      <w:r>
        <w:rPr>
          <w:rFonts w:ascii="Calibri" w:hAnsi="Calibri"/>
          <w:sz w:val="22"/>
        </w:rPr>
        <w:t xml:space="preserve"> [15] orchestrates a sequential crew where each agent receives all previous agents' outputs as context — building a progressively richer understanding before producing its output. Key design properties include: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Specialization:</w:t>
      </w:r>
      <w:r>
        <w:rPr>
          <w:rFonts w:ascii="Calibri" w:hAnsi="Calibri"/>
          <w:sz w:val="22"/>
        </w:rPr>
        <w:t xml:space="preserve"> Each agent has a role, backstory, and task prompt focused on a specific domain.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Context chaining:</w:t>
      </w:r>
      <w:r>
        <w:rPr>
          <w:rFonts w:ascii="Calibri" w:hAnsi="Calibri"/>
          <w:sz w:val="22"/>
        </w:rPr>
        <w:t xml:space="preserve"> Later agents receive full structured outputs of earlier agents.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Tool use:</w:t>
      </w:r>
      <w:r>
        <w:rPr>
          <w:rFonts w:ascii="Calibri" w:hAnsi="Calibri"/>
          <w:sz w:val="22"/>
        </w:rPr>
        <w:t xml:space="preserve"> Agents invoke the </w:t>
      </w:r>
      <w:r>
        <w:rPr>
          <w:rFonts w:ascii="Courier New" w:hAnsi="Courier New"/>
          <w:color w:val="1A73E8"/>
          <w:sz w:val="19"/>
        </w:rPr>
        <w:t>NetworkDataReader</w:t>
      </w:r>
      <w:r>
        <w:rPr>
          <w:rFonts w:ascii="Calibri" w:hAnsi="Calibri"/>
          <w:sz w:val="22"/>
        </w:rPr>
        <w:t xml:space="preserve"> CSV tool to ground reasoning in real data.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Separation of concerns:</w:t>
      </w:r>
      <w:r>
        <w:rPr>
          <w:rFonts w:ascii="Calibri" w:hAnsi="Calibri"/>
          <w:sz w:val="22"/>
        </w:rPr>
        <w:t xml:space="preserve"> Failures in one agent are handled without corrupting others.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9 ]  </w:t>
      </w:r>
      <w:r>
        <w:rPr>
          <w:i/>
          <w:color w:val="444444"/>
          <w:sz w:val="19"/>
        </w:rPr>
        <w:t>Agent Pipeline Timeline — four numbered steps with checkmarks and per-agent summaries.</w:t>
        <w:br/>
        <w:t>Screenshot: http://localhost:4000/intent (after submitting any intent)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2.7  Large Language Models in Network Management</w:t>
      </w:r>
    </w:p>
    <w:p>
      <w:pPr>
        <w:spacing w:before="0" w:after="120"/>
        <w:ind w:firstLine="0"/>
      </w:pPr>
      <w:r>
        <w:rPr>
          <w:rFonts w:ascii="Calibri" w:hAnsi="Calibri"/>
          <w:b/>
          <w:sz w:val="22"/>
        </w:rPr>
        <w:t>Large Language Models (LLMs)</w:t>
      </w:r>
      <w:r>
        <w:rPr>
          <w:rFonts w:ascii="Calibri" w:hAnsi="Calibri"/>
          <w:sz w:val="22"/>
        </w:rPr>
        <w:t xml:space="preserve"> are transformer-based neural networks [17] trained on massive text corpora, enabling them to understand and generate human language with remarkable reasoning capability. </w:t>
      </w:r>
      <w:r>
        <w:rPr>
          <w:rFonts w:ascii="Calibri" w:hAnsi="Calibri"/>
          <w:b/>
          <w:sz w:val="22"/>
        </w:rPr>
        <w:t>Meta Llama 3.3 70B</w:t>
      </w:r>
      <w:r>
        <w:rPr>
          <w:rFonts w:ascii="Calibri" w:hAnsi="Calibri"/>
          <w:sz w:val="22"/>
        </w:rPr>
        <w:t xml:space="preserve"> [6] powers this system, offering natural language understanding, structured JSON output generation, 3GPP standards knowledge, and adaptive behavior across the full diversity of real-world intents — without requiring explicit rules for each scenario. Inference is provided by </w:t>
      </w:r>
      <w:r>
        <w:rPr>
          <w:rFonts w:ascii="Calibri" w:hAnsi="Calibri"/>
          <w:b/>
          <w:sz w:val="22"/>
        </w:rPr>
        <w:t>Groq's</w:t>
      </w:r>
      <w:r>
        <w:rPr>
          <w:rFonts w:ascii="Calibri" w:hAnsi="Calibri"/>
          <w:sz w:val="22"/>
        </w:rPr>
        <w:t xml:space="preserve"> hardware-accelerated API [16], with the </w:t>
      </w:r>
      <w:r>
        <w:rPr>
          <w:rFonts w:ascii="Calibri" w:hAnsi="Calibri"/>
          <w:b/>
          <w:sz w:val="22"/>
        </w:rPr>
        <w:t>LiteLLM</w:t>
      </w:r>
      <w:r>
        <w:rPr>
          <w:rFonts w:ascii="Calibri" w:hAnsi="Calibri"/>
          <w:sz w:val="22"/>
        </w:rPr>
        <w:t xml:space="preserve"> adapter normalizing provider calls inside CrewAI [15].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3. System Architecture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The system follows a clean client-server architecture with AI processing encapsulated in the backend. The Next.js [18] frontend communicates with the Flask backend through a single REST API endpoint.</w:t>
      </w:r>
    </w:p>
    <w:p>
      <w:pPr>
        <w:spacing w:before="80" w:after="80"/>
        <w:ind w:left="283" w:right="283"/>
        <w:shd w:val="clear" w:color="auto" w:fill="0D1F35"/>
      </w:pPr>
      <w:r>
        <w:rPr>
          <w:rFonts w:ascii="Courier New" w:hAnsi="Courier New"/>
          <w:color w:val="E8F4FD"/>
          <w:sz w:val="17"/>
        </w:rPr>
        <w:t>Browser (Next.js)</w:t>
        <w:br/>
        <w:t xml:space="preserve">  /              → Network Monitor  (live topology + KPIs)</w:t>
        <w:br/>
        <w:t xml:space="preserve">  /intent        → Intent AI        (submit intent → results)</w:t>
        <w:br/>
        <w:t xml:space="preserve">  /dataset       → Dataset Manager  (upload / inspect CSV)</w:t>
        <w:br/>
        <w:t xml:space="preserve">         │ HTTP POST /api/intent</w:t>
        <w:br/>
        <w:t xml:space="preserve">         ▼</w:t>
        <w:br/>
        <w:t>Flask Backend (Python)</w:t>
        <w:br/>
        <w:t xml:space="preserve">  server.py → ran_crew.py → CrewAI Sequential Crew</w:t>
        <w:br/>
        <w:t xml:space="preserve">    Agent 1: Intent Parser   (NL text → intent JSON)</w:t>
        <w:br/>
        <w:t xml:space="preserve">    Agent 2: RAN Planner     (intent → 3GPP config JSON)</w:t>
        <w:br/>
        <w:t xml:space="preserve">    Agent 3: Network Monitor (CSV read by zone → KPI JSON)</w:t>
        <w:br/>
        <w:t xml:space="preserve">    Agent 4: RAN Optimizer   (before/after KPIs → action)</w:t>
        <w:br/>
        <w:t xml:space="preserve">  All agents: Groq Llama 3.3 70B via LiteLLM</w:t>
        <w:br/>
        <w:t xml:space="preserve">         ▼</w:t>
        <w:br/>
        <w:t>6G HetNet Dataset (CSV)</w:t>
        <w:br/>
        <w:t xml:space="preserve">  5,000 rows · 50 cells · Location_Tag per cell</w:t>
        <w:br/>
        <w:t xml:space="preserve">  Zones: hospital | stadium | factory | downtown | residential</w:t>
      </w:r>
    </w:p>
    <w:p>
      <w:pPr>
        <w:spacing w:before="0" w:after="120"/>
        <w:ind w:firstLine="0"/>
      </w:pPr>
      <w:r>
        <w:rPr>
          <w:rFonts w:ascii="Calibri" w:hAnsi="Calibri"/>
          <w:b/>
          <w:sz w:val="22"/>
        </w:rPr>
        <w:t>Intent submission data flow: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Engineer types a natural language intent in the browser and submits the form.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Frontend sends POST /api/intent to the Flask backend.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Backend instantiates the CrewAI sequential crew and starts Agent 1.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Each agent executes in turn, passing its structured JSON output to the next as context.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Agents 3 and 4 call the NetworkDataReader tool to retrieve real cell KPI data filtered by location zone.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Backend assembles four agent outputs into a single result JSON and returns it.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Frontend renders the result card: banner, agent timeline, KPI comparison, config table, highlighted topology.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10 ]  </w:t>
      </w:r>
      <w:r>
        <w:rPr>
          <w:i/>
          <w:color w:val="444444"/>
          <w:sz w:val="19"/>
        </w:rPr>
        <w:t>End-to-end data flow diagram — Engineer intent → POST request → Flask → CrewAI agents → CSV → JSON response → result card.</w:t>
        <w:br/>
        <w:t>Source: Swimlane or flow diagram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4. Technology Stack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4.1 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417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5386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Python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3.11+</w:t>
            </w:r>
          </w:p>
        </w:tc>
        <w:tc>
          <w:tcPr>
            <w:tcW w:type="dxa" w:w="5386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Core language with mature AI/data science ecosystem.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Flask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3.x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Lightweight WSGI REST API framework.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Flask-CORS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4.x</w:t>
            </w:r>
          </w:p>
        </w:tc>
        <w:tc>
          <w:tcPr>
            <w:tcW w:type="dxa" w:w="5386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Cross-origin resource sharing for browser calls.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CrewAI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0.70+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Multi-agent orchestration framework [15].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Groq API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5386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Hardware-accelerated Llama 3.3 70B inference [16].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LiteLLM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Universal LLM adapter used internally by CrewAI.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pandas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2.x</w:t>
            </w:r>
          </w:p>
        </w:tc>
        <w:tc>
          <w:tcPr>
            <w:tcW w:type="dxa" w:w="5386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CSV dataset loading, filtering, and sampling [19].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pydantic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2.x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Tool input schema validation.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python-dotenv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1.x</w:t>
            </w:r>
          </w:p>
        </w:tc>
        <w:tc>
          <w:tcPr>
            <w:tcW w:type="dxa" w:w="5386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Environment variable management.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gunicorn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—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Production WSGI server for Railway deployment.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4.2 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1417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5386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Next.js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14.x</w:t>
            </w:r>
          </w:p>
        </w:tc>
        <w:tc>
          <w:tcPr>
            <w:tcW w:type="dxa" w:w="5386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React meta-framework with App Router and file-based routing [18].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TypeScript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5.x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Type-safe JavaScript, catches CSV-to-component schema mismatches at compile time.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Tailwind CSS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3.x</w:t>
            </w:r>
          </w:p>
        </w:tc>
        <w:tc>
          <w:tcPr>
            <w:tcW w:type="dxa" w:w="5386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Utility-first CSS for consistent styling.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Recharts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2.x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D3-based React charting library for live KPI charts.</w:t>
            </w:r>
          </w:p>
        </w:tc>
      </w:tr>
      <w:tr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PapaParse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5.x</w:t>
            </w:r>
          </w:p>
        </w:tc>
        <w:tc>
          <w:tcPr>
            <w:tcW w:type="dxa" w:w="5386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In-browser CSV parser for client-side dataset loading.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Lucide React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0.400+</w:t>
            </w:r>
          </w:p>
        </w:tc>
        <w:tc>
          <w:tcPr>
            <w:tcW w:type="dxa" w:w="5386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Consistent icon library.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4.3  Deployment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268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6520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268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Railway</w:t>
            </w:r>
          </w:p>
        </w:tc>
        <w:tc>
          <w:tcPr>
            <w:tcW w:type="dxa" w:w="652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Python/Flask backend hosting with Procfile auto-detection.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Vercel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Next.js frontend with global CDN and automatic Git deployments.</w:t>
            </w:r>
          </w:p>
        </w:tc>
      </w:tr>
    </w:tbl>
    <w:p/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5. Project Structure</w:t>
      </w:r>
    </w:p>
    <w:p>
      <w:pPr>
        <w:spacing w:before="80" w:after="80"/>
        <w:ind w:left="283" w:right="283"/>
        <w:shd w:val="clear" w:color="auto" w:fill="0D1F35"/>
      </w:pPr>
      <w:r>
        <w:rPr>
          <w:rFonts w:ascii="Courier New" w:hAnsi="Courier New"/>
          <w:color w:val="E8F4FD"/>
          <w:sz w:val="17"/>
        </w:rPr>
        <w:t>ran-dashboard-backend/</w:t>
        <w:br/>
        <w:t>├── server.py            # Flask app — routes, CORS, entry point</w:t>
        <w:br/>
        <w:t>├── ran_crew.py          # CrewAI agents, tasks, pipeline logic</w:t>
        <w:br/>
        <w:t>├── csv_tool.py          # NetworkDataReader tool (pandas)</w:t>
        <w:br/>
        <w:t>├── fallbacks.py         # Rule-based fallback responses</w:t>
        <w:br/>
        <w:t>├── requirements.txt     # Python dependencies</w:t>
        <w:br/>
        <w:t>├── Procfile             # gunicorn start command</w:t>
        <w:br/>
        <w:t>├── data/</w:t>
        <w:br/>
        <w:t>│   └── 6G_HetNet_with_location.csv</w:t>
        <w:br/>
        <w:t>├── docs/figures/        # Screenshots and diagrams</w:t>
        <w:br/>
        <w:t>└── frontend/</w:t>
        <w:br/>
        <w:t xml:space="preserve">    ├── app/</w:t>
        <w:br/>
        <w:t xml:space="preserve">    │   ├── page.tsx           # Network Monitor (/)</w:t>
        <w:br/>
        <w:t xml:space="preserve">    │   ├── intent/page.tsx    # Intent AI (/intent)</w:t>
        <w:br/>
        <w:t xml:space="preserve">    │   └── dataset/page.tsx   # Dataset Manager (/dataset)</w:t>
        <w:br/>
        <w:t xml:space="preserve">    ├── components/</w:t>
        <w:br/>
        <w:t xml:space="preserve">    │   ├── network/NetworkTopology.tsx</w:t>
        <w:br/>
        <w:t xml:space="preserve">    │   ├── network/KPICards.tsx</w:t>
        <w:br/>
        <w:t xml:space="preserve">    │   ├── network/LiveChart.tsx</w:t>
        <w:br/>
        <w:t xml:space="preserve">    │   ├── intent/IntentPanel.tsx</w:t>
        <w:br/>
        <w:t xml:space="preserve">    │   ├── intent/IntentResultCard.tsx</w:t>
        <w:br/>
        <w:t xml:space="preserve">    │   └── dataset/DatasetManager.tsx</w:t>
        <w:br/>
        <w:t xml:space="preserve">    ├── hooks/useDataset.ts</w:t>
        <w:br/>
        <w:t xml:space="preserve">    ├── hooks/useNetworkPoll.ts</w:t>
        <w:br/>
        <w:t xml:space="preserve">    └── lib/types.ts  |  network.ts  |  api.ts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6. Setup and Installation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6.1  Prerequisites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Python 3.11+</w:t>
      </w:r>
      <w:r>
        <w:rPr>
          <w:rFonts w:ascii="Calibri" w:hAnsi="Calibri"/>
          <w:sz w:val="22"/>
        </w:rPr>
        <w:t xml:space="preserve"> — required for modern typing and match statements.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Node.js 18+</w:t>
      </w:r>
      <w:r>
        <w:rPr>
          <w:rFonts w:ascii="Calibri" w:hAnsi="Calibri"/>
          <w:sz w:val="22"/>
        </w:rPr>
        <w:t xml:space="preserve"> — required by Next.js 14.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Groq API key</w:t>
      </w:r>
      <w:r>
        <w:rPr>
          <w:rFonts w:ascii="Calibri" w:hAnsi="Calibri"/>
          <w:sz w:val="22"/>
        </w:rPr>
        <w:t xml:space="preserve"> — free at https://console.groq.com (provides Llama 3.3 70B access).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6.2  Backend Setup</w:t>
      </w:r>
    </w:p>
    <w:p>
      <w:pPr>
        <w:spacing w:before="80" w:after="80"/>
        <w:ind w:left="283" w:right="283"/>
        <w:shd w:val="clear" w:color="auto" w:fill="0D1F35"/>
      </w:pPr>
      <w:r>
        <w:rPr>
          <w:rFonts w:ascii="Courier New" w:hAnsi="Courier New"/>
          <w:color w:val="E8F4FD"/>
          <w:sz w:val="17"/>
        </w:rPr>
        <w:t>cd ran-dashboard-backend</w:t>
        <w:br/>
        <w:t>pip install -r requirements.txt</w:t>
        <w:br/>
        <w:t># Add GROQ_API_KEY=gsk_... to .env</w:t>
        <w:br/>
        <w:t>python download_dataset.py</w:t>
        <w:br/>
        <w:t>python server.py</w:t>
        <w:br/>
        <w:t># Runs at http://localhost:8000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6.3  Frontend Setup</w:t>
      </w:r>
    </w:p>
    <w:p>
      <w:pPr>
        <w:spacing w:before="80" w:after="80"/>
        <w:ind w:left="283" w:right="283"/>
        <w:shd w:val="clear" w:color="auto" w:fill="0D1F35"/>
      </w:pPr>
      <w:r>
        <w:rPr>
          <w:rFonts w:ascii="Courier New" w:hAnsi="Courier New"/>
          <w:color w:val="E8F4FD"/>
          <w:sz w:val="17"/>
        </w:rPr>
        <w:t>cd frontend</w:t>
        <w:br/>
        <w:t>npm install</w:t>
        <w:br/>
        <w:t># Optional: create frontend/.env.local</w:t>
        <w:br/>
        <w:t># NEXT_PUBLIC_BACKEND_URL=http://localhost:8000</w:t>
        <w:br/>
        <w:t>npm run dev -- --port 4000</w:t>
        <w:br/>
        <w:t># Runs at http://localhost:4000</w:t>
      </w:r>
    </w:p>
    <w:p>
      <w:pPr>
        <w:spacing w:before="80" w:after="80"/>
        <w:ind w:left="567" w:right="567"/>
      </w:pPr>
      <w:r>
        <w:rPr>
          <w:rFonts w:ascii="Calibri" w:hAnsi="Calibri"/>
          <w:b/>
          <w:color w:val="2B4C7E"/>
          <w:sz w:val="20"/>
        </w:rPr>
        <w:t xml:space="preserve">Note: </w:t>
      </w:r>
      <w:r>
        <w:rPr>
          <w:rFonts w:ascii="Calibri" w:hAnsi="Calibri"/>
          <w:i/>
          <w:sz w:val="20"/>
        </w:rPr>
        <w:t>If ports 3000/3001 are occupied, use --port 4000 or any available port.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7. Dataset Requirements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The system enforces strict column validation in both the Python backend (before LLM processing) and the TypeScript frontend (before visualization). A dataset missing any required column is rejected with a descriptive error message — there is no silent fallback to synthetic data.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7.1  Required Columns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1134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5102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Cell_ID</w:t>
            </w:r>
          </w:p>
        </w:tc>
        <w:tc>
          <w:tcPr>
            <w:tcW w:type="dxa" w:w="113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integer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Primary key linking dataset rows to topology nodes.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Cell_Type</w:t>
            </w:r>
          </w:p>
        </w:tc>
        <w:tc>
          <w:tcPr>
            <w:tcW w:type="dxa" w:w="113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string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HetNet tier: Macro / Micro / Pico / Femto.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Achieved_Throughput_Mbps</w:t>
            </w:r>
          </w:p>
        </w:tc>
        <w:tc>
          <w:tcPr>
            <w:tcW w:type="dxa" w:w="113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float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Downlink throughput in Mbps. Primary user experience metric.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Network_Latency_ms</w:t>
            </w:r>
          </w:p>
        </w:tc>
        <w:tc>
          <w:tcPr>
            <w:tcW w:type="dxa" w:w="113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float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Round-trip packet delay in ms. Critical for URLLC.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Resource_Utilization</w:t>
            </w:r>
          </w:p>
        </w:tc>
        <w:tc>
          <w:tcPr>
            <w:tcW w:type="dxa" w:w="113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float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Fraction of RBs allocated (0–1). Load and congestion indicator.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Packet_Loss_Ratio</w:t>
            </w:r>
          </w:p>
        </w:tc>
        <w:tc>
          <w:tcPr>
            <w:tcW w:type="dxa" w:w="113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float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Fraction of packets lost (0–1). High values indicate overload.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Signal_to_Noise_Ratio_dB</w:t>
            </w:r>
          </w:p>
        </w:tc>
        <w:tc>
          <w:tcPr>
            <w:tcW w:type="dxa" w:w="113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float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Received signal quality in dB. Determines modulation order.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Bandwidth_MHz</w:t>
            </w:r>
          </w:p>
        </w:tc>
        <w:tc>
          <w:tcPr>
            <w:tcW w:type="dxa" w:w="113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float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Channel bandwidth. Determines maximum throughput capacity.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Location_X</w:t>
            </w:r>
          </w:p>
        </w:tc>
        <w:tc>
          <w:tcPr>
            <w:tcW w:type="dxa" w:w="113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float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X coordinate in coverage grid (0–1000). Topology positioning.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Location_Y</w:t>
            </w:r>
          </w:p>
        </w:tc>
        <w:tc>
          <w:tcPr>
            <w:tcW w:type="dxa" w:w="113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float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Y coordinate in coverage grid (0–1000). Topology positioning.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Location_Tag</w:t>
            </w:r>
          </w:p>
        </w:tc>
        <w:tc>
          <w:tcPr>
            <w:tcW w:type="dxa" w:w="113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string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Zone label: hospital | stadium | factory | downtown | residential. Required for intent routing.</w:t>
            </w:r>
          </w:p>
        </w:tc>
      </w:tr>
    </w:tbl>
    <w:p/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7.2  Location Zone Mapping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The default 6G HetNet dataset assigns Location_Tag values based on X/Y coordinates within a 1000×1000 normalized coverage grid, reflecting realistic urban deployment scenarios: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701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Zone</w:t>
            </w:r>
          </w:p>
        </w:tc>
        <w:tc>
          <w:tcPr>
            <w:tcW w:type="dxa" w:w="1417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X Range</w:t>
            </w:r>
          </w:p>
        </w:tc>
        <w:tc>
          <w:tcPr>
            <w:tcW w:type="dxa" w:w="1417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Y Range</w:t>
            </w:r>
          </w:p>
        </w:tc>
        <w:tc>
          <w:tcPr>
            <w:tcW w:type="dxa" w:w="4252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Network Use Case</w:t>
            </w:r>
          </w:p>
        </w:tc>
      </w:tr>
      <w:tr>
        <w:tc>
          <w:tcPr>
            <w:tcW w:type="dxa" w:w="170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hospital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0–350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0–350</w:t>
            </w:r>
          </w:p>
        </w:tc>
        <w:tc>
          <w:tcPr>
            <w:tcW w:type="dxa" w:w="425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URLLC — emergency services, remote patient monitoring.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factory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650–1000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0–350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mMTC/URLLC — industrial IoT, robotic automation.</w:t>
            </w:r>
          </w:p>
        </w:tc>
      </w:tr>
      <w:tr>
        <w:tc>
          <w:tcPr>
            <w:tcW w:type="dxa" w:w="170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stadium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650–1000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650–1000</w:t>
            </w:r>
          </w:p>
        </w:tc>
        <w:tc>
          <w:tcPr>
            <w:tcW w:type="dxa" w:w="425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eMBB — mass gatherings, live events.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residential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0–350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650–1000</w:t>
            </w:r>
          </w:p>
        </w:tc>
        <w:tc>
          <w:tcPr>
            <w:tcW w:type="dxa" w:w="425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eMBB — home broadband, consumer IoT.</w:t>
            </w:r>
          </w:p>
        </w:tc>
      </w:tr>
      <w:tr>
        <w:tc>
          <w:tcPr>
            <w:tcW w:type="dxa" w:w="170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downtown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350–650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350–650</w:t>
            </w:r>
          </w:p>
        </w:tc>
        <w:tc>
          <w:tcPr>
            <w:tcW w:type="dxa" w:w="425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Mixed — dense urban, enterprise, pedestrian users.</w:t>
            </w:r>
          </w:p>
        </w:tc>
      </w:tr>
    </w:tbl>
    <w:p/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11 ]  </w:t>
      </w:r>
      <w:r>
        <w:rPr>
          <w:i/>
          <w:color w:val="444444"/>
          <w:sz w:val="19"/>
        </w:rPr>
        <w:t>Location zone map — 1000×1000 grid divided into five colored zones with X/Y range labels.</w:t>
        <w:br/>
        <w:t>Source: Block diagram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12 ]  </w:t>
      </w:r>
      <w:r>
        <w:rPr>
          <w:i/>
          <w:color w:val="444444"/>
          <w:sz w:val="19"/>
        </w:rPr>
        <w:t>Dataset Manager page — metadata view and 11-column requirements list.</w:t>
        <w:br/>
        <w:t>Screenshot: http://localhost:4000/dataset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8. AI Pipeline — The Four-Agent Crew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 xml:space="preserve">The pipeline is defined in </w:t>
      </w:r>
      <w:r>
        <w:rPr>
          <w:rFonts w:ascii="Courier New" w:hAnsi="Courier New"/>
          <w:color w:val="1A73E8"/>
          <w:sz w:val="19"/>
        </w:rPr>
        <w:t>ran_crew.py</w:t>
      </w:r>
      <w:r>
        <w:rPr>
          <w:rFonts w:ascii="Calibri" w:hAnsi="Calibri"/>
          <w:sz w:val="22"/>
        </w:rPr>
        <w:t xml:space="preserve"> and orchestrated by CrewAI [15] as a sequential crew — each agent executes in order and every output is passed as context to the next. All agents use Groq Llama 3.3 70B [6] via LiteLLM. If the pipeline fails, the system falls back to </w:t>
      </w:r>
      <w:r>
        <w:rPr>
          <w:rFonts w:ascii="Courier New" w:hAnsi="Courier New"/>
          <w:color w:val="1A73E8"/>
          <w:sz w:val="19"/>
        </w:rPr>
        <w:t>fallbacks.py</w:t>
      </w:r>
      <w:r>
        <w:rPr>
          <w:rFonts w:ascii="Calibri" w:hAnsi="Calibri"/>
          <w:sz w:val="22"/>
        </w:rPr>
        <w:t>, a deterministic rule-based engine. The frontend labels fallback responses with a warning badge.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13 ]  </w:t>
      </w:r>
      <w:r>
        <w:rPr>
          <w:i/>
          <w:color w:val="444444"/>
          <w:sz w:val="19"/>
        </w:rPr>
        <w:t>Full Intent Result Card — complete AI pipeline output for a hospital emergency intent.</w:t>
        <w:br/>
        <w:t>Screenshot: http://localhost:4000/intent (after submitting 'Prioritize emergency communications at the central hospital')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8.1  Agent 1 — Intent Parser</w:t>
      </w:r>
    </w:p>
    <w:p>
      <w:pPr>
        <w:spacing w:before="0" w:after="120"/>
        <w:ind w:firstLine="0"/>
      </w:pPr>
      <w:r>
        <w:rPr>
          <w:rFonts w:ascii="Calibri" w:hAnsi="Calibri"/>
          <w:b/>
          <w:sz w:val="22"/>
        </w:rPr>
        <w:t>Role:</w:t>
      </w:r>
      <w:r>
        <w:rPr>
          <w:rFonts w:ascii="Calibri" w:hAnsi="Calibri"/>
          <w:sz w:val="22"/>
        </w:rPr>
        <w:t xml:space="preserve"> Senior Telecom Intent Analyst. Transforms free-form engineer text into a machine-readable intent JSON structure. Classifies the intent into one of eight operational categories and maps it to the corresponding 3GPP network slice type [1], [8]: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Intent Type</w:t>
            </w:r>
          </w:p>
        </w:tc>
        <w:tc>
          <w:tcPr>
            <w:tcW w:type="dxa" w:w="3969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268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Slice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emergency</w:t>
            </w:r>
          </w:p>
        </w:tc>
        <w:tc>
          <w:tcPr>
            <w:tcW w:type="dxa" w:w="3969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Medical, disaster response, or public safety</w:t>
            </w:r>
          </w:p>
        </w:tc>
        <w:tc>
          <w:tcPr>
            <w:tcW w:type="dxa" w:w="2268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URLLC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stadium_event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Large venue, sports event, concert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eMBB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iot_deployment</w:t>
            </w:r>
          </w:p>
        </w:tc>
        <w:tc>
          <w:tcPr>
            <w:tcW w:type="dxa" w:w="3969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Sensor networks, smart city infrastructure</w:t>
            </w:r>
          </w:p>
        </w:tc>
        <w:tc>
          <w:tcPr>
            <w:tcW w:type="dxa" w:w="2268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mMTC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industrial_iot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Factory automation, robotics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mMTC / URLLC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video_streaming</w:t>
            </w:r>
          </w:p>
        </w:tc>
        <w:tc>
          <w:tcPr>
            <w:tcW w:type="dxa" w:w="3969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High-bandwidth media delivery</w:t>
            </w:r>
          </w:p>
        </w:tc>
        <w:tc>
          <w:tcPr>
            <w:tcW w:type="dxa" w:w="2268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eMBB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smart_city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Traffic, utilities, urban management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mMTC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voice_priority</w:t>
            </w:r>
          </w:p>
        </w:tc>
        <w:tc>
          <w:tcPr>
            <w:tcW w:type="dxa" w:w="3969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VoIP, emergency calling</w:t>
            </w:r>
          </w:p>
        </w:tc>
        <w:tc>
          <w:tcPr>
            <w:tcW w:type="dxa" w:w="2268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URLLC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general_optimization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Baseline performance improvement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eMBB</w:t>
            </w:r>
          </w:p>
        </w:tc>
      </w:tr>
    </w:tbl>
    <w:p/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14 ]  </w:t>
      </w:r>
      <w:r>
        <w:rPr>
          <w:i/>
          <w:color w:val="444444"/>
          <w:sz w:val="19"/>
        </w:rPr>
        <w:t>Intent Summary Banner — parsed intent type, slice type, zone, confidence %, and health score.</w:t>
        <w:br/>
        <w:t>Screenshot: close-up of the result card banner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8.2  Agent 2 — RAN Planner</w:t>
      </w:r>
    </w:p>
    <w:p>
      <w:pPr>
        <w:spacing w:before="0" w:after="120"/>
        <w:ind w:firstLine="0"/>
      </w:pPr>
      <w:r>
        <w:rPr>
          <w:rFonts w:ascii="Calibri" w:hAnsi="Calibri"/>
          <w:b/>
          <w:sz w:val="22"/>
        </w:rPr>
        <w:t>Role:</w:t>
      </w:r>
      <w:r>
        <w:rPr>
          <w:rFonts w:ascii="Calibri" w:hAnsi="Calibri"/>
          <w:sz w:val="22"/>
        </w:rPr>
        <w:t xml:space="preserve"> Expert 5G Network Configuration Architect. Translates the intent JSON into a complete 3GPP Release 18 [1], [11] network configuration covering: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Network Slice parameters:</w:t>
      </w:r>
      <w:r>
        <w:rPr>
          <w:rFonts w:ascii="Calibri" w:hAnsi="Calibri"/>
          <w:sz w:val="22"/>
        </w:rPr>
        <w:t xml:space="preserve"> SST, slice differentiator, priority, preemption capability.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QoS parameters:</w:t>
      </w:r>
      <w:r>
        <w:rPr>
          <w:rFonts w:ascii="Calibri" w:hAnsi="Calibri"/>
          <w:sz w:val="22"/>
        </w:rPr>
        <w:t xml:space="preserve"> 5QI identifier, ARP, GBR, MBR, Packet Delay Budget [13].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RAN parameters:</w:t>
      </w:r>
      <w:r>
        <w:rPr>
          <w:rFonts w:ascii="Calibri" w:hAnsi="Calibri"/>
          <w:sz w:val="22"/>
        </w:rPr>
        <w:t xml:space="preserve"> NR numerology (subcarrier spacing μ), MIMO layers, DL/UL scheduler, carrier aggregation.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For example, a hospital emergency intent produces URLLC with 5QI=1 (GBR, 100 ms PDB), high ARP priority, numerology μ=3 (120 kHz subcarrier spacing for minimal latency), and a round-robin scheduler.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15 ]  </w:t>
      </w:r>
      <w:r>
        <w:rPr>
          <w:i/>
          <w:color w:val="444444"/>
          <w:sz w:val="19"/>
        </w:rPr>
        <w:t>Generated 3GPP Network Configuration Table — slice, QoS, and RAN parameters with values.</w:t>
        <w:br/>
        <w:t>Screenshot: close-up of the config section in the result card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8.3  Agent 3 — Network Monitor</w:t>
      </w:r>
    </w:p>
    <w:p>
      <w:pPr>
        <w:spacing w:before="0" w:after="120"/>
        <w:ind w:firstLine="0"/>
      </w:pPr>
      <w:r>
        <w:rPr>
          <w:rFonts w:ascii="Calibri" w:hAnsi="Calibri"/>
          <w:b/>
          <w:sz w:val="22"/>
        </w:rPr>
        <w:t>Role:</w:t>
      </w:r>
      <w:r>
        <w:rPr>
          <w:rFonts w:ascii="Calibri" w:hAnsi="Calibri"/>
          <w:sz w:val="22"/>
        </w:rPr>
        <w:t xml:space="preserve"> 5G NOC Analyst. Calls the </w:t>
      </w:r>
      <w:r>
        <w:rPr>
          <w:rFonts w:ascii="Courier New" w:hAnsi="Courier New"/>
          <w:color w:val="1A73E8"/>
          <w:sz w:val="19"/>
        </w:rPr>
        <w:t>NetworkDataReader</w:t>
      </w:r>
      <w:r>
        <w:rPr>
          <w:rFonts w:ascii="Calibri" w:hAnsi="Calibri"/>
          <w:sz w:val="22"/>
        </w:rPr>
        <w:t xml:space="preserve"> tool to fetch actual KPI measurements from a real cell in the relevant location zone, then performs a structured health assessment against standard thresholds. Location inference maps intent keywords to dataset zones: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5102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Keywords in Intent</w:t>
            </w:r>
          </w:p>
        </w:tc>
        <w:tc>
          <w:tcPr>
            <w:tcW w:type="dxa" w:w="3685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Inferred Zone</w:t>
            </w:r>
          </w:p>
        </w:tc>
      </w:tr>
      <w:tr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hospital, emergency, clinic, ambulance, medical</w:t>
            </w:r>
          </w:p>
        </w:tc>
        <w:tc>
          <w:tcPr>
            <w:tcW w:type="dxa" w:w="368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hospital</w:t>
            </w:r>
          </w:p>
        </w:tc>
      </w:tr>
      <w:tr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stadium, concert, festival, match, arena, fans</w:t>
            </w:r>
          </w:p>
        </w:tc>
        <w:tc>
          <w:tcPr>
            <w:tcW w:type="dxa" w:w="368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stadium</w:t>
            </w:r>
          </w:p>
        </w:tc>
      </w:tr>
      <w:tr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factory, manufacturing, industrial, robots</w:t>
            </w:r>
          </w:p>
        </w:tc>
        <w:tc>
          <w:tcPr>
            <w:tcW w:type="dxa" w:w="368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factory</w:t>
            </w:r>
          </w:p>
        </w:tc>
      </w:tr>
      <w:tr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downtown, city center, CBD, urban core</w:t>
            </w:r>
          </w:p>
        </w:tc>
        <w:tc>
          <w:tcPr>
            <w:tcW w:type="dxa" w:w="368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downtown</w:t>
            </w:r>
          </w:p>
        </w:tc>
      </w:tr>
      <w:tr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residential, suburb, home, neighbourhood</w:t>
            </w:r>
          </w:p>
        </w:tc>
        <w:tc>
          <w:tcPr>
            <w:tcW w:type="dxa" w:w="368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residential</w:t>
            </w:r>
          </w:p>
        </w:tc>
      </w:tr>
    </w:tbl>
    <w:p/>
    <w:p>
      <w:pPr>
        <w:spacing w:before="0" w:after="120"/>
        <w:ind w:firstLine="0"/>
      </w:pPr>
      <w:r>
        <w:rPr>
          <w:rFonts w:ascii="Calibri" w:hAnsi="Calibri"/>
          <w:sz w:val="22"/>
        </w:rPr>
        <w:t>A composite health score (0–100) is computed: above 75 is healthy, 50–75 is warning, below 50 is critical.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8.4  Agent 4 — RAN Optimizer</w:t>
      </w:r>
    </w:p>
    <w:p>
      <w:pPr>
        <w:spacing w:before="0" w:after="120"/>
        <w:ind w:firstLine="0"/>
      </w:pPr>
      <w:r>
        <w:rPr>
          <w:rFonts w:ascii="Calibri" w:hAnsi="Calibri"/>
          <w:b/>
          <w:sz w:val="22"/>
        </w:rPr>
        <w:t>Role:</w:t>
      </w:r>
      <w:r>
        <w:rPr>
          <w:rFonts w:ascii="Calibri" w:hAnsi="Calibri"/>
          <w:sz w:val="22"/>
        </w:rPr>
        <w:t xml:space="preserve"> Senior RAN Optimization Engineer. Synthesizes all prior outputs to select the most appropriate optimization action and quantify its impact by calling </w:t>
      </w:r>
      <w:r>
        <w:rPr>
          <w:rFonts w:ascii="Courier New" w:hAnsi="Courier New"/>
          <w:color w:val="1A73E8"/>
          <w:sz w:val="19"/>
        </w:rPr>
        <w:t>NetworkDataReader</w:t>
      </w:r>
      <w:r>
        <w:rPr>
          <w:rFonts w:ascii="Calibri" w:hAnsi="Calibri"/>
          <w:sz w:val="22"/>
        </w:rPr>
        <w:t xml:space="preserve"> twice — before and after states [9]: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118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Network Condition</w:t>
            </w:r>
          </w:p>
        </w:tc>
        <w:tc>
          <w:tcPr>
            <w:tcW w:type="dxa" w:w="1984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Selected Action</w:t>
            </w:r>
          </w:p>
        </w:tc>
        <w:tc>
          <w:tcPr>
            <w:tcW w:type="dxa" w:w="3685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18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Cell load &gt; 80% + low throughput</w:t>
            </w:r>
          </w:p>
        </w:tc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scale_bandwidth</w:t>
            </w:r>
          </w:p>
        </w:tc>
        <w:tc>
          <w:tcPr>
            <w:tcW w:type="dxa" w:w="368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Widen channel or add carrier component.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Cell load &gt; 80%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activate_cell</w:t>
            </w:r>
          </w:p>
        </w:tc>
        <w:tc>
          <w:tcPr>
            <w:tcW w:type="dxa" w:w="368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Bring adjacent cell online to offload traffic.</w:t>
            </w:r>
          </w:p>
        </w:tc>
      </w:tr>
      <w:tr>
        <w:tc>
          <w:tcPr>
            <w:tcW w:type="dxa" w:w="3118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Latency or packet loss violation</w:t>
            </w:r>
          </w:p>
        </w:tc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modify_qos</w:t>
            </w:r>
          </w:p>
        </w:tc>
        <w:tc>
          <w:tcPr>
            <w:tcW w:type="dxa" w:w="368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Raise priority, tighten delay budget.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Slice type mismatch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adjust_priority</w:t>
            </w:r>
          </w:p>
        </w:tc>
        <w:tc>
          <w:tcPr>
            <w:tcW w:type="dxa" w:w="368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Reconfigure slice parameters.</w:t>
            </w:r>
          </w:p>
        </w:tc>
      </w:tr>
      <w:tr>
        <w:tc>
          <w:tcPr>
            <w:tcW w:type="dxa" w:w="3118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Health score &gt; 85, all healthy</w:t>
            </w:r>
          </w:p>
        </w:tc>
        <w:tc>
          <w:tcPr>
            <w:tcW w:type="dxa" w:w="1984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energy_saving</w:t>
            </w:r>
          </w:p>
        </w:tc>
        <w:tc>
          <w:tcPr>
            <w:tcW w:type="dxa" w:w="368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Reduce power or sleep idle cells.</w:t>
            </w:r>
          </w:p>
        </w:tc>
      </w:tr>
    </w:tbl>
    <w:p/>
    <w:p>
      <w:pPr>
        <w:spacing w:before="0" w:after="120"/>
        <w:ind w:firstLine="0"/>
      </w:pPr>
      <w:r>
        <w:rPr>
          <w:rFonts w:ascii="Calibri" w:hAnsi="Calibri"/>
          <w:b/>
          <w:sz w:val="22"/>
        </w:rPr>
        <w:t>Before/After KPI Measurement:</w:t>
      </w:r>
      <w:r>
        <w:rPr>
          <w:rFonts w:ascii="Calibri" w:hAnsi="Calibri"/>
          <w:sz w:val="22"/>
        </w:rPr>
        <w:t xml:space="preserve"> The optimizer reads a current (degraded) cell state, then a healthy cell state as a post-optimization proxy. Improvement is calculated as |((after − before) / before)| × 100%, with direction interpreted per metric semantics.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16 ]  </w:t>
      </w:r>
      <w:r>
        <w:rPr>
          <w:i/>
          <w:color w:val="444444"/>
          <w:sz w:val="19"/>
        </w:rPr>
        <w:t>KPI Before/After Comparison — Throughput, Latency, Resource Load, and Packet Loss cards with % improvement badges.</w:t>
        <w:br/>
        <w:t>Screenshot: close-up of the KPI comparison section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17 ]  </w:t>
      </w:r>
      <w:r>
        <w:rPr>
          <w:i/>
          <w:color w:val="444444"/>
          <w:sz w:val="19"/>
        </w:rPr>
        <w:t>Affected Topology — zone-highlighted cells lit, others dimmed to 15% opacity, monitored cell in cyan.</w:t>
        <w:br/>
        <w:t>Screenshot: close-up of the topology section in the result card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9. API Reference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9.1  GET /health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Returns server status and model configuration.</w:t>
      </w:r>
    </w:p>
    <w:p>
      <w:pPr>
        <w:spacing w:before="80" w:after="80"/>
        <w:ind w:left="283" w:right="283"/>
        <w:shd w:val="clear" w:color="auto" w:fill="0D1F35"/>
      </w:pPr>
      <w:r>
        <w:rPr>
          <w:rFonts w:ascii="Courier New" w:hAnsi="Courier New"/>
          <w:color w:val="E8F4FD"/>
          <w:sz w:val="17"/>
        </w:rPr>
        <w:t>{</w:t>
        <w:br/>
        <w:t xml:space="preserve">  "status": "ok",</w:t>
        <w:br/>
        <w:t xml:space="preserve">  "service": "RAN Optimizer Backend (CrewAI)",</w:t>
        <w:br/>
        <w:t xml:space="preserve">  "groq_configured": true,</w:t>
        <w:br/>
        <w:t xml:space="preserve">  "model": "llama-3.3-70b-versatile",</w:t>
        <w:br/>
        <w:t xml:space="preserve">  "agents": ["Intent Parser","RAN Planner","Network Monitor","RAN Optimizer"]</w:t>
        <w:br/>
        <w:t>}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9.2  POST /api/intent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Runs the full four-agent pipeline. Typical processing time: 10–30 seconds.</w:t>
      </w:r>
    </w:p>
    <w:p>
      <w:pPr>
        <w:spacing w:before="80" w:after="80"/>
        <w:ind w:left="283" w:right="283"/>
        <w:shd w:val="clear" w:color="auto" w:fill="0D1F35"/>
      </w:pPr>
      <w:r>
        <w:rPr>
          <w:rFonts w:ascii="Courier New" w:hAnsi="Courier New"/>
          <w:color w:val="E8F4FD"/>
          <w:sz w:val="17"/>
        </w:rPr>
        <w:t>// Request</w:t>
        <w:br/>
        <w:t>{ "intent": "Prioritize emergency communications at the central hospital now" }</w:t>
        <w:br/>
        <w:br/>
        <w:t>// Response — AI success</w:t>
        <w:br/>
        <w:t>{ "success": true, "result": {</w:t>
        <w:br/>
        <w:t xml:space="preserve">    "intent":       { "intent_type": "emergency", "slice_type": "URLLC", ... },</w:t>
        <w:br/>
        <w:t xml:space="preserve">    "config":       { "network_slice": {...}, "qos_parameters": {...} },</w:t>
        <w:br/>
        <w:t xml:space="preserve">    "monitor":      { "cell_id": 7, "location_tag": "hospital", ... },</w:t>
        <w:br/>
        <w:t xml:space="preserve">    "optimization": { "action": "modify_qos", "before": {...}, "after": {...} }</w:t>
        <w:br/>
        <w:t>}}</w:t>
        <w:br/>
        <w:br/>
        <w:t>// Response — fallback</w:t>
        <w:br/>
        <w:t>{ "success": true, "result": {...},</w:t>
        <w:br/>
        <w:t xml:space="preserve">  "warning": "AI agents encountered an error. Showing rule-based fallback." }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10. Frontend Pages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10.1  Network Monitor (/)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Provides a continuously updated view of all 50 cells by advancing dataset rows at ~3-second intervals with small KPI jitter — simulating live operations center conditions. Four panels: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KPI Summary Cards</w:t>
      </w:r>
      <w:r>
        <w:rPr>
          <w:rFonts w:ascii="Calibri" w:hAnsi="Calibri"/>
          <w:sz w:val="22"/>
        </w:rPr>
        <w:t xml:space="preserve"> — network-wide averages for throughput, latency, load, and health counts.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Network Topology</w:t>
      </w:r>
      <w:r>
        <w:rPr>
          <w:rFonts w:ascii="Calibri" w:hAnsi="Calibri"/>
          <w:sz w:val="22"/>
        </w:rPr>
        <w:t xml:space="preserve"> — SVG map of all cells. Color = health status. Hover shows tooltip with all KPIs and location zone.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Live Chart</w:t>
      </w:r>
      <w:r>
        <w:rPr>
          <w:rFonts w:ascii="Calibri" w:hAnsi="Calibri"/>
          <w:sz w:val="22"/>
        </w:rPr>
        <w:t xml:space="preserve"> — Recharts time-series of the last 20 polling ticks.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/>
          <w:sz w:val="22"/>
        </w:rPr>
        <w:t>Cell Type Distribution</w:t>
      </w:r>
      <w:r>
        <w:rPr>
          <w:rFonts w:ascii="Calibri" w:hAnsi="Calibri"/>
          <w:sz w:val="22"/>
        </w:rPr>
        <w:t xml:space="preserve"> — breakdown by Macro/Micro/Pico/Femto with health bars.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18 ]  </w:t>
      </w:r>
      <w:r>
        <w:rPr>
          <w:i/>
          <w:color w:val="444444"/>
          <w:sz w:val="19"/>
        </w:rPr>
        <w:t>Network Topology with hover tooltip — cell type, location zone in cyan, health status, and KPI table.</w:t>
        <w:br/>
        <w:t>Screenshot: http://localhost:4000 (hover a critical/warning cell)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10.2  Intent AI (/intent)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 xml:space="preserve">The primary interface for submitting natural language intents and reviewing AI pipeline results. The left panel contains the submission form with sample intents and history. The right panel renders </w:t>
      </w:r>
      <w:r>
        <w:rPr>
          <w:rFonts w:ascii="Courier New" w:hAnsi="Courier New"/>
          <w:color w:val="1A73E8"/>
          <w:sz w:val="19"/>
        </w:rPr>
        <w:t>IntentResultCard</w:t>
      </w:r>
      <w:r>
        <w:rPr>
          <w:rFonts w:ascii="Calibri" w:hAnsi="Calibri"/>
          <w:sz w:val="22"/>
        </w:rPr>
        <w:t xml:space="preserve"> in six sections: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Intent Banner</w:t>
      </w:r>
      <w:r>
        <w:rPr>
          <w:rFonts w:ascii="Calibri" w:hAnsi="Calibri"/>
          <w:sz w:val="22"/>
        </w:rPr>
        <w:t xml:space="preserve"> — intent type, slice, zone, confidence, health score, action.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Agent Pipeline Timeline</w:t>
      </w:r>
      <w:r>
        <w:rPr>
          <w:rFonts w:ascii="Calibri" w:hAnsi="Calibri"/>
          <w:sz w:val="22"/>
        </w:rPr>
        <w:t xml:space="preserve"> — four steps with checkmarks and summaries.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KPI Before/After Comparison</w:t>
      </w:r>
      <w:r>
        <w:rPr>
          <w:rFonts w:ascii="Calibri" w:hAnsi="Calibri"/>
          <w:sz w:val="22"/>
        </w:rPr>
        <w:t xml:space="preserve"> — four metric cards with % change and Improved/Degraded labels.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Network Configuration Table</w:t>
      </w:r>
      <w:r>
        <w:rPr>
          <w:rFonts w:ascii="Calibri" w:hAnsi="Calibri"/>
          <w:sz w:val="22"/>
        </w:rPr>
        <w:t xml:space="preserve"> — all 3GPP parameters grouped by category.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Network Monitor Details</w:t>
      </w:r>
      <w:r>
        <w:rPr>
          <w:rFonts w:ascii="Calibri" w:hAnsi="Calibri"/>
          <w:sz w:val="22"/>
        </w:rPr>
        <w:t xml:space="preserve"> — raw cell KPIs and threshold violations.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b/>
          <w:sz w:val="22"/>
        </w:rPr>
        <w:t>Affected Topology</w:t>
      </w:r>
      <w:r>
        <w:rPr>
          <w:rFonts w:ascii="Calibri" w:hAnsi="Calibri"/>
          <w:sz w:val="22"/>
        </w:rPr>
        <w:t xml:space="preserve"> — zone-highlighted SVG with monitored cell in cyan.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19 ]  </w:t>
      </w:r>
      <w:r>
        <w:rPr>
          <w:i/>
          <w:color w:val="444444"/>
          <w:sz w:val="19"/>
        </w:rPr>
        <w:t>Intent AI Page — full two-panel layout after a successful intent submission.</w:t>
        <w:br/>
        <w:t>Screenshot: http://localhost:4000/intent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10.3  Dataset Manager (/dataset)</w:t>
      </w:r>
    </w:p>
    <w:p>
      <w:pPr>
        <w:spacing w:before="0" w:after="120"/>
        <w:ind w:firstLine="0"/>
      </w:pPr>
      <w:r>
        <w:rPr>
          <w:rFonts w:ascii="Calibri" w:hAnsi="Calibri"/>
          <w:sz w:val="22"/>
        </w:rPr>
        <w:t>Allows engineers to inspect and replace the dataset. Displays filename, row count, cell count, source, and column list. Custom CSV uploads are validated client-side against all 11 required columns before acceptance. Engineers can revert to the default dataset at any time.</w:t>
      </w:r>
    </w:p>
    <w:p>
      <w:pPr>
        <w:spacing w:before="160" w:after="80"/>
        <w:ind w:left="567" w:right="567"/>
        <w:jc w:val="center"/>
        <w:shd w:val="clear" w:color="auto" w:fill="EBF3FB"/>
      </w:pPr>
      <w:r>
        <w:rPr>
          <w:b/>
          <w:color w:val="1F3A6E"/>
          <w:sz w:val="20"/>
        </w:rPr>
        <w:t xml:space="preserve">[ FIGURE 20 ]  </w:t>
      </w:r>
      <w:r>
        <w:rPr>
          <w:i/>
          <w:color w:val="444444"/>
          <w:sz w:val="19"/>
        </w:rPr>
        <w:t>Dataset validation error — upload a CSV missing Location_Tag to demonstrate the rejection message.</w:t>
        <w:br/>
        <w:t>Screenshot: http://localhost:4000/dataset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11. Deployment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11.1  Backend — Railway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 xml:space="preserve">Push </w:t>
      </w:r>
      <w:r>
        <w:rPr>
          <w:rFonts w:ascii="Courier New" w:hAnsi="Courier New"/>
          <w:color w:val="1A73E8"/>
          <w:sz w:val="19"/>
        </w:rPr>
        <w:t>ran-dashboard-backend/</w:t>
      </w:r>
      <w:r>
        <w:rPr>
          <w:rFonts w:ascii="Calibri" w:hAnsi="Calibri"/>
          <w:sz w:val="22"/>
        </w:rPr>
        <w:t xml:space="preserve"> to a GitHub repository.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 xml:space="preserve">In Railway: </w:t>
      </w:r>
      <w:r>
        <w:rPr>
          <w:rFonts w:ascii="Calibri" w:hAnsi="Calibri"/>
          <w:b/>
          <w:sz w:val="22"/>
        </w:rPr>
        <w:t>New Project</w:t>
      </w:r>
      <w:r>
        <w:rPr>
          <w:rFonts w:ascii="Calibri" w:hAnsi="Calibri"/>
          <w:sz w:val="22"/>
        </w:rPr>
        <w:t xml:space="preserve"> → </w:t>
      </w:r>
      <w:r>
        <w:rPr>
          <w:rFonts w:ascii="Calibri" w:hAnsi="Calibri"/>
          <w:b/>
          <w:sz w:val="22"/>
        </w:rPr>
        <w:t>Deploy from GitHub repo</w:t>
      </w:r>
      <w:r>
        <w:rPr>
          <w:rFonts w:ascii="Calibri" w:hAnsi="Calibri"/>
          <w:sz w:val="22"/>
        </w:rPr>
        <w:t>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 xml:space="preserve">Set Root Directory to </w:t>
      </w:r>
      <w:r>
        <w:rPr>
          <w:rFonts w:ascii="Courier New" w:hAnsi="Courier New"/>
          <w:color w:val="1A73E8"/>
          <w:sz w:val="19"/>
        </w:rPr>
        <w:t>ran-dashboard-backend/</w:t>
      </w:r>
      <w:r>
        <w:rPr>
          <w:rFonts w:ascii="Calibri" w:hAnsi="Calibri"/>
          <w:sz w:val="22"/>
        </w:rPr>
        <w:t xml:space="preserve"> if inside a monorepo.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 xml:space="preserve">Add environment variable: </w:t>
      </w:r>
      <w:r>
        <w:rPr>
          <w:rFonts w:ascii="Courier New" w:hAnsi="Courier New"/>
          <w:color w:val="1A73E8"/>
          <w:sz w:val="19"/>
        </w:rPr>
        <w:t>GROQ_API_KEY = gsk_your_key_here</w:t>
      </w:r>
      <w:r>
        <w:rPr>
          <w:rFonts w:ascii="Calibri" w:hAnsi="Calibri"/>
          <w:sz w:val="22"/>
        </w:rPr>
        <w:t>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Railway auto-detects the Procfile and deploys automatically.</w:t>
      </w:r>
    </w:p>
    <w:p>
      <w:pPr>
        <w:spacing w:before="80" w:after="80"/>
        <w:ind w:left="283" w:right="283"/>
        <w:shd w:val="clear" w:color="auto" w:fill="0D1F35"/>
      </w:pPr>
      <w:r>
        <w:rPr>
          <w:rFonts w:ascii="Courier New" w:hAnsi="Courier New"/>
          <w:color w:val="E8F4FD"/>
          <w:sz w:val="17"/>
        </w:rPr>
        <w:t>web: gunicorn server:app --bind 0.0.0.0:$PORT --workers 1 --timeout 120</w:t>
      </w:r>
    </w:p>
    <w:p>
      <w:pPr>
        <w:spacing w:before="80" w:after="80"/>
        <w:ind w:left="567" w:right="567"/>
      </w:pPr>
      <w:r>
        <w:rPr>
          <w:rFonts w:ascii="Calibri" w:hAnsi="Calibri"/>
          <w:b/>
          <w:color w:val="2B4C7E"/>
          <w:sz w:val="20"/>
        </w:rPr>
        <w:t xml:space="preserve">Note: </w:t>
      </w:r>
      <w:r>
        <w:rPr>
          <w:rFonts w:ascii="Calibri" w:hAnsi="Calibri"/>
          <w:i/>
          <w:sz w:val="20"/>
        </w:rPr>
        <w:t>The --timeout 120 flag is essential. LLM calls take 20–40 s and exceed gunicorn's default 30 s worker timeout.</w:t>
      </w:r>
    </w:p>
    <w:p>
      <w:pPr>
        <w:spacing w:before="240" w:after="80"/>
      </w:pPr>
      <w:r>
        <w:rPr>
          <w:rFonts w:ascii="Calibri" w:hAnsi="Calibri"/>
          <w:b/>
          <w:color w:val="2B4C7E"/>
          <w:sz w:val="26"/>
        </w:rPr>
        <w:t>11.2  Frontend — Vercel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 xml:space="preserve">Push </w:t>
      </w:r>
      <w:r>
        <w:rPr>
          <w:rFonts w:ascii="Courier New" w:hAnsi="Courier New"/>
          <w:color w:val="1A73E8"/>
          <w:sz w:val="19"/>
        </w:rPr>
        <w:t>frontend/</w:t>
      </w:r>
      <w:r>
        <w:rPr>
          <w:rFonts w:ascii="Calibri" w:hAnsi="Calibri"/>
          <w:sz w:val="22"/>
        </w:rPr>
        <w:t xml:space="preserve"> to a GitHub repository.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 xml:space="preserve">In Vercel: </w:t>
      </w:r>
      <w:r>
        <w:rPr>
          <w:rFonts w:ascii="Calibri" w:hAnsi="Calibri"/>
          <w:b/>
          <w:sz w:val="22"/>
        </w:rPr>
        <w:t>New Project</w:t>
      </w:r>
      <w:r>
        <w:rPr>
          <w:rFonts w:ascii="Calibri" w:hAnsi="Calibri"/>
          <w:sz w:val="22"/>
        </w:rPr>
        <w:t xml:space="preserve"> → connect your GitHub repository.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 xml:space="preserve">Set Root Directory to </w:t>
      </w:r>
      <w:r>
        <w:rPr>
          <w:rFonts w:ascii="Courier New" w:hAnsi="Courier New"/>
          <w:color w:val="1A73E8"/>
          <w:sz w:val="19"/>
        </w:rPr>
        <w:t>frontend/</w:t>
      </w:r>
      <w:r>
        <w:rPr>
          <w:rFonts w:ascii="Calibri" w:hAnsi="Calibri"/>
          <w:sz w:val="22"/>
        </w:rPr>
        <w:t xml:space="preserve"> if deploying from a monorepo.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 xml:space="preserve">Add environment variable: </w:t>
      </w:r>
      <w:r>
        <w:rPr>
          <w:rFonts w:ascii="Courier New" w:hAnsi="Courier New"/>
          <w:color w:val="1A73E8"/>
          <w:sz w:val="19"/>
        </w:rPr>
        <w:t>NEXT_PUBLIC_BACKEND_URL=https://your-railway-app.up.railway.app</w:t>
      </w:r>
      <w:r>
        <w:rPr>
          <w:rFonts w:ascii="Calibri" w:hAnsi="Calibri"/>
          <w:sz w:val="22"/>
        </w:rPr>
        <w:t>.</w:t>
      </w:r>
    </w:p>
    <w:p>
      <w:pPr>
        <w:pStyle w:val="ListNumber"/>
        <w:spacing w:before="20" w:after="20"/>
        <w:ind w:left="283"/>
      </w:pPr>
      <w:r>
        <w:rPr>
          <w:rFonts w:ascii="Calibri" w:hAnsi="Calibri"/>
          <w:sz w:val="22"/>
        </w:rPr>
        <w:t>Deploy — Vercel auto-detects Next.js. Every Git push triggers automatic redeployment.</w:t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12.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551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17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Where</w:t>
            </w:r>
          </w:p>
        </w:tc>
        <w:tc>
          <w:tcPr>
            <w:tcW w:type="dxa" w:w="1417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402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GROQ_API_KEY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Backend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Yes</w:t>
            </w:r>
          </w:p>
        </w:tc>
        <w:tc>
          <w:tcPr>
            <w:tcW w:type="dxa" w:w="34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Groq API key. Without it all requests fall back to rule-based engine.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NEXT_PUBLIC_BACKEND_URL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Frontend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Optional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Deployed backend URL. Must be set on Vercel for production.</w:t>
            </w:r>
          </w:p>
        </w:tc>
      </w:tr>
      <w:tr>
        <w:tc>
          <w:tcPr>
            <w:tcW w:type="dxa" w:w="2551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PORT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Backend</w:t>
            </w:r>
          </w:p>
        </w:tc>
        <w:tc>
          <w:tcPr>
            <w:tcW w:type="dxa" w:w="1417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Auto</w:t>
            </w:r>
          </w:p>
        </w:tc>
        <w:tc>
          <w:tcPr>
            <w:tcW w:type="dxa" w:w="34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Set automatically by Railway. Do not set manually in production.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FLASK_ENV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Backend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Optional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Set to 'development' for debug mode. Never use in production.</w:t>
            </w:r>
          </w:p>
        </w:tc>
      </w:tr>
    </w:tbl>
    <w:p/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Figure Index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850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Fig.</w:t>
            </w:r>
          </w:p>
        </w:tc>
        <w:tc>
          <w:tcPr>
            <w:tcW w:type="dxa" w:w="5102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835"/>
            <w:shd w:val="clear" w:color="auto" w:fill="1F3A6E"/>
            <w:tcBorders>
              <w:top w:val="single" w:sz="4" w:space="0" w:color="1F3A6E"/>
              <w:left w:val="single" w:sz="4" w:space="0" w:color="1F3A6E"/>
              <w:bottom w:val="single" w:sz="4" w:space="0" w:color="1F3A6E"/>
              <w:right w:val="single" w:sz="4" w:space="0" w:color="1F3A6E"/>
              <w:insideH w:val="single" w:sz="4" w:space="0" w:color="1F3A6E"/>
              <w:insideV w:val="single" w:sz="4" w:space="0" w:color="1F3A6E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Dashboard overview — Network Monitor page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2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5G three-slice architecture (eMBB / URLLC / mMTC)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Diagram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3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5G RAN architecture — UE → gNB → 5G Core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Diagram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4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HetNet topology — multi-tier cells with hover tooltip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5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KPI Summary Cards — live network averages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6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Live KPI Time-Series Chart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7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IBN workflow diagram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Diagram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8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Intent submission form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localhost:4000/intent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9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Agent Pipeline Timeline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localhost:4000/intent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10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End-to-end data flow diagram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Diagram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11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Location zone map — 5-zone spatial partitioning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Diagram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12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Dataset Manager page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localhost:4000/dataset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13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Full Intent Result Card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localhost:4000/intent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14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Intent Summary Banner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close-up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15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Generated 3GPP Network Configuration Table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close-up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16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KPI Before/After Comparison cards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close-up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17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Affected Topology — zone-highlighted cells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close-up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18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Network Topology with hover tooltip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</w:t>
            </w:r>
          </w:p>
        </w:tc>
      </w:tr>
      <w:tr>
        <w:tc>
          <w:tcPr>
            <w:tcW w:type="dxa" w:w="850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19</w:t>
            </w:r>
          </w:p>
        </w:tc>
        <w:tc>
          <w:tcPr>
            <w:tcW w:type="dxa" w:w="5102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Intent AI Page — full two-panel layout</w:t>
            </w:r>
          </w:p>
        </w:tc>
        <w:tc>
          <w:tcPr>
            <w:tcW w:type="dxa" w:w="2835"/>
            <w:shd w:val="clear" w:color="auto" w:fill="EBF3FB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localhost:4000/intent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b/>
                <w:sz w:val="19"/>
              </w:rPr>
              <w:t>20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Dataset validation error message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BDD7EE"/>
              <w:left w:val="single" w:sz="4" w:space="0" w:color="BDD7EE"/>
              <w:bottom w:val="single" w:sz="4" w:space="0" w:color="BDD7EE"/>
              <w:right w:val="single" w:sz="4" w:space="0" w:color="BDD7EE"/>
              <w:insideH w:val="single" w:sz="4" w:space="0" w:color="BDD7EE"/>
              <w:insideV w:val="single" w:sz="4" w:space="0" w:color="BDD7EE"/>
            </w:tcBorders>
          </w:tcPr>
          <w:p>
            <w:r>
              <w:rPr>
                <w:rFonts w:ascii="Calibri" w:hAnsi="Calibri"/>
                <w:sz w:val="19"/>
              </w:rPr>
              <w:t>Screenshot: localhost:4000/dataset</w:t>
            </w:r>
          </w:p>
        </w:tc>
      </w:tr>
    </w:tbl>
    <w:p/>
    <w:p>
      <w:r>
        <w:br w:type="page"/>
      </w:r>
    </w:p>
    <w:p>
      <w:pPr>
        <w:spacing w:before="360" w:after="120"/>
        <w:pBdr>
          <w:bottom w:val="single" w:sz="8" w:space="1" w:color="2B4C7E"/>
        </w:pBdr>
      </w:pPr>
      <w:r>
        <w:rPr>
          <w:rFonts w:ascii="Calibri" w:hAnsi="Calibri"/>
          <w:b/>
          <w:color w:val="1F3A6E"/>
          <w:sz w:val="32"/>
        </w:rPr>
        <w:t>References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[1] 3rd Generation Partnership Project (3GPP), "System Architecture for the 5G System (5GS)," Technical Specification TS 23.501, Release 18, Dec. 2023.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[2] 3rd Generation Partnership Project (3GPP), "Intent driven management services for mobile networks; Requirements," Technical Specification TS 28.312, Release 18, 2023.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[3] A. Clemm, L. Ciavaglia, L. Z. Granville, and J. Tantsura, "Intent-Based Networking — Concepts and Definitions," IETF, Request for Comments RFC 9315, Oct. 2022.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[4] J. G. Andrews, S. Buzzi, W. Choi, S. V. Hanly, A. Lozano, A. C. K. Soong, and J. C. Zhang, "What Will 5G Be?" IEEE Journal on Selected Areas in Communications, vol. 32, no. 6, pp. 1065–1082, Jun. 2014. DOI: 10.1109/JSAC.2014.2328098.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[5] A. Damnjanovic, J. Montojo, Y. Wei, T. Ji, T. Luo, M. Vajapeyam, T. Yoo, O. Song, and D. Malladi, "A Survey on 3GPP Heterogeneous Networks," IEEE Wireless Communications, vol. 18, no. 3, pp. 10–21, Jun. 2011. DOI: 10.1109/MWC.2011.5876496.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[6] AI @ Meta, "The Llama 3 Herd of Models," arXiv preprint arXiv:2407.21783, Jul. 2024.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[7] M. Polese, L. Bonati, S. D'Oro, S. Basagni, and T. Melodia, "Understanding O-RAN: Architecture, Interfaces, Algorithms, Security, and Research Challenges," IEEE Communications Surveys &amp; Tutorials, vol. 25, no. 2, pp. 1376–1411, 2023. DOI: 10.1109/COMST.2023.3239220.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[8] X. Foukas, G. Patounas, A. Elmokashfi, and M. K. Marina, "Network Slicing in 5G: Survey and Challenges," IEEE Communications Magazine, vol. 55, no. 5, pp. 94–100, May 2017. DOI: 10.1109/MCOM.2017.1600951.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[9] R. Li, Z. Zhao, X. Zhou, G. Ding, Y. Chen, Z. Wang, and H. Zhang, "Intelligent 5G: When Cellular Networks Meet Artificial Intelligence," IEEE Wireless Communications, vol. 24, no. 5, pp. 175–183, Oct. 2017. DOI: 10.1109/MWC.2017.1600304WC.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[10] J. Wei, X. Wang, D. Schuurmans, M. Bosma, F. Xia, E. Chi, Q. V. Le, and D. Zhou, "Chain-of-Thought Prompting Elicits Reasoning in Large Language Models," in Advances in Neural Information Processing Systems (NeurIPS), vol. 35, pp. 24824–24837, 2022.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[11] 3rd Generation Partnership Project (3GPP), "5G; NR; Physical Layer Procedures for Data," Technical Specification TS 38.214, Release 18, 2023.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[12] TMForum, "Autonomous Networks: Empowering Digital Transformation," Technical Report TR290, Version 2.0, 2021.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[13] A. Kaloxylos, "A Survey and an Analysis of Network Slicing in 5G Networks," IEEE Communications Standards Magazine, vol. 2, no. 1, pp. 60–65, Mar. 2018. DOI: 10.1109/MCOMSTD.2018.1700072.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[14] S. Andreev et al., "Understanding the IoT Connectivity Landscape: A Contemporary M2M Radio Technology Roadmap," IEEE Communications Magazine, vol. 53, no. 9, pp. 32–40, Sep. 2015. DOI: 10.1109/MCOM.2015.7263370.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[15] CrewAI, Inc., "CrewAI: Framework for Orchestrating Role-Playing, Autonomous AI Agents," GitHub Repository, 2024. [Online]. Available: https://github.com/crewAIInc/crewAI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[16] Groq, Inc., "Groq LPU Inference Engine," Technical Overview, 2024. [Online]. Available: https://groq.com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[17] T. Wolf et al., "Transformers: State-of-the-Art Natural Language Processing," in Proc. EMNLP System Demonstrations, pp. 38–45, 2020. DOI: 10.18653/v1/2020.emnlp-demos.6.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[18] Vercel, Inc., "Next.js 14 Documentation," 2024. [Online]. Available: https://nextjs.org/docs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[19] W. McKinney, "Data Structures for Statistical Computing in Python," in Proc. 9th Python in Science Conference (SciPy), pp. 56–61, 2010.</w:t>
      </w:r>
    </w:p>
    <w:p>
      <w:pPr>
        <w:spacing w:after="80"/>
        <w:ind w:left="397" w:hanging="397"/>
      </w:pPr>
      <w:r>
        <w:rPr>
          <w:rFonts w:ascii="Calibri" w:hAnsi="Calibri"/>
          <w:sz w:val="20"/>
        </w:rPr>
        <w:t>[20] ETSI, "Experiential Networked Intelligence (ENI); ENI Architecture," ETSI GS ENI 005, V2.1.1, Jun. 2020.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